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B9E55" w14:textId="02A9AD7E" w:rsidR="005B2924" w:rsidRPr="0058780E" w:rsidRDefault="005B2924" w:rsidP="005B2924">
      <w:pPr>
        <w:spacing w:line="360" w:lineRule="auto"/>
        <w:rPr>
          <w:rFonts w:ascii="Cambria" w:hAnsi="Cambria"/>
          <w:b/>
          <w:sz w:val="32"/>
        </w:rPr>
      </w:pPr>
    </w:p>
    <w:p w14:paraId="6FA5F7C5" w14:textId="5467C387" w:rsidR="005B2924" w:rsidRPr="0058780E" w:rsidRDefault="00D23114" w:rsidP="00D23114">
      <w:pPr>
        <w:spacing w:line="360" w:lineRule="auto"/>
        <w:jc w:val="center"/>
        <w:rPr>
          <w:rFonts w:ascii="Cambria" w:hAnsi="Cambria"/>
          <w:b/>
          <w:sz w:val="32"/>
        </w:rPr>
      </w:pPr>
      <w:bookmarkStart w:id="0" w:name="_GoBack"/>
      <w:r w:rsidRPr="00015729">
        <w:rPr>
          <w:noProof/>
        </w:rPr>
        <w:drawing>
          <wp:inline distT="0" distB="0" distL="0" distR="0" wp14:anchorId="114D3C4F" wp14:editId="6E01C176">
            <wp:extent cx="40100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1066800"/>
                    </a:xfrm>
                    <a:prstGeom prst="rect">
                      <a:avLst/>
                    </a:prstGeom>
                    <a:noFill/>
                    <a:ln>
                      <a:noFill/>
                    </a:ln>
                  </pic:spPr>
                </pic:pic>
              </a:graphicData>
            </a:graphic>
          </wp:inline>
        </w:drawing>
      </w:r>
      <w:bookmarkEnd w:id="0"/>
    </w:p>
    <w:p w14:paraId="4D1F390D" w14:textId="77777777" w:rsidR="005B2924" w:rsidRPr="0058780E" w:rsidRDefault="005B2924" w:rsidP="005B2924">
      <w:pPr>
        <w:spacing w:line="360" w:lineRule="auto"/>
        <w:rPr>
          <w:rFonts w:ascii="Cambria" w:hAnsi="Cambria"/>
          <w:b/>
          <w:sz w:val="32"/>
        </w:rPr>
      </w:pPr>
    </w:p>
    <w:p w14:paraId="6391B4A7" w14:textId="77777777" w:rsidR="005B2924" w:rsidRPr="0058780E" w:rsidRDefault="005B2924" w:rsidP="005B2924">
      <w:pPr>
        <w:jc w:val="center"/>
        <w:rPr>
          <w:rFonts w:ascii="Cambria" w:hAnsi="Cambria"/>
          <w:b/>
          <w:sz w:val="28"/>
        </w:rPr>
      </w:pPr>
      <w:r w:rsidRPr="0058780E">
        <w:rPr>
          <w:rFonts w:ascii="Cambria" w:hAnsi="Cambria"/>
          <w:b/>
          <w:sz w:val="28"/>
        </w:rPr>
        <w:t>Evaluation of an Inquiry Lesson in Science</w:t>
      </w:r>
    </w:p>
    <w:p w14:paraId="67CC5EA8" w14:textId="77777777" w:rsidR="005B2924" w:rsidRPr="0058780E" w:rsidRDefault="005B2924" w:rsidP="005B2924">
      <w:pPr>
        <w:rPr>
          <w:rFonts w:ascii="Cambria" w:hAnsi="Cambria"/>
          <w:b/>
          <w:sz w:val="24"/>
        </w:rPr>
      </w:pPr>
    </w:p>
    <w:tbl>
      <w:tblPr>
        <w:tblW w:w="9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4974"/>
      </w:tblGrid>
      <w:tr w:rsidR="005B2924" w:rsidRPr="0058780E" w14:paraId="00DF78E9" w14:textId="77777777" w:rsidTr="007D4653">
        <w:trPr>
          <w:trHeight w:val="432"/>
          <w:jc w:val="center"/>
        </w:trPr>
        <w:tc>
          <w:tcPr>
            <w:tcW w:w="4698" w:type="dxa"/>
            <w:vAlign w:val="center"/>
          </w:tcPr>
          <w:p w14:paraId="265833C4" w14:textId="77777777" w:rsidR="005B2924" w:rsidRPr="0058780E" w:rsidRDefault="005B2924" w:rsidP="007D4653">
            <w:pPr>
              <w:pStyle w:val="NoSpacing"/>
              <w:rPr>
                <w:rFonts w:ascii="Cambria" w:hAnsi="Cambria"/>
                <w:sz w:val="22"/>
                <w:szCs w:val="22"/>
              </w:rPr>
            </w:pPr>
            <w:bookmarkStart w:id="1" w:name="OLE_LINK1"/>
            <w:r w:rsidRPr="0058780E">
              <w:rPr>
                <w:rFonts w:ascii="Cambria" w:hAnsi="Cambria"/>
                <w:sz w:val="22"/>
                <w:szCs w:val="22"/>
              </w:rPr>
              <w:t xml:space="preserve">Teacher Candidate </w:t>
            </w:r>
          </w:p>
        </w:tc>
        <w:tc>
          <w:tcPr>
            <w:tcW w:w="4974" w:type="dxa"/>
            <w:vAlign w:val="center"/>
          </w:tcPr>
          <w:p w14:paraId="20C6ACCA" w14:textId="77777777" w:rsidR="005B2924" w:rsidRPr="0058780E" w:rsidRDefault="005B2924" w:rsidP="007D4653">
            <w:pPr>
              <w:pStyle w:val="NoSpacing"/>
              <w:rPr>
                <w:rFonts w:ascii="Cambria" w:hAnsi="Cambria"/>
                <w:sz w:val="22"/>
                <w:szCs w:val="22"/>
              </w:rPr>
            </w:pPr>
            <w:r w:rsidRPr="0058780E">
              <w:rPr>
                <w:rFonts w:ascii="Cambria" w:hAnsi="Cambria"/>
                <w:sz w:val="22"/>
                <w:szCs w:val="22"/>
              </w:rPr>
              <w:t xml:space="preserve">Date  </w:t>
            </w:r>
          </w:p>
        </w:tc>
      </w:tr>
      <w:tr w:rsidR="005B2924" w:rsidRPr="0058780E" w14:paraId="41435A59" w14:textId="77777777" w:rsidTr="007D4653">
        <w:trPr>
          <w:trHeight w:val="432"/>
          <w:jc w:val="center"/>
        </w:trPr>
        <w:tc>
          <w:tcPr>
            <w:tcW w:w="4698" w:type="dxa"/>
            <w:vAlign w:val="center"/>
          </w:tcPr>
          <w:p w14:paraId="182E269D" w14:textId="77777777" w:rsidR="005B2924" w:rsidRPr="0058780E" w:rsidRDefault="005B2924" w:rsidP="007D4653">
            <w:pPr>
              <w:pStyle w:val="NoSpacing"/>
              <w:rPr>
                <w:rFonts w:ascii="Cambria" w:hAnsi="Cambria"/>
                <w:sz w:val="22"/>
                <w:szCs w:val="22"/>
              </w:rPr>
            </w:pPr>
            <w:r w:rsidRPr="0058780E">
              <w:rPr>
                <w:rFonts w:ascii="Cambria" w:hAnsi="Cambria"/>
                <w:sz w:val="22"/>
                <w:szCs w:val="22"/>
              </w:rPr>
              <w:t>Cooperating Teacher</w:t>
            </w:r>
          </w:p>
        </w:tc>
        <w:tc>
          <w:tcPr>
            <w:tcW w:w="4974" w:type="dxa"/>
            <w:vAlign w:val="center"/>
          </w:tcPr>
          <w:p w14:paraId="3D8C0FB5" w14:textId="77777777" w:rsidR="005B2924" w:rsidRPr="0058780E" w:rsidRDefault="005B2924" w:rsidP="007D4653">
            <w:pPr>
              <w:pStyle w:val="NoSpacing"/>
              <w:rPr>
                <w:rFonts w:ascii="Cambria" w:hAnsi="Cambria"/>
                <w:sz w:val="22"/>
                <w:szCs w:val="22"/>
              </w:rPr>
            </w:pPr>
            <w:r w:rsidRPr="0058780E">
              <w:rPr>
                <w:rFonts w:ascii="Cambria" w:hAnsi="Cambria"/>
                <w:sz w:val="22"/>
                <w:szCs w:val="22"/>
              </w:rPr>
              <w:t>School</w:t>
            </w:r>
          </w:p>
        </w:tc>
      </w:tr>
      <w:tr w:rsidR="005B2924" w:rsidRPr="0058780E" w14:paraId="50639C40" w14:textId="77777777" w:rsidTr="007D4653">
        <w:trPr>
          <w:trHeight w:val="432"/>
          <w:jc w:val="center"/>
        </w:trPr>
        <w:tc>
          <w:tcPr>
            <w:tcW w:w="4698" w:type="dxa"/>
            <w:vAlign w:val="center"/>
          </w:tcPr>
          <w:p w14:paraId="4FEDE458" w14:textId="77777777" w:rsidR="005B2924" w:rsidRPr="0058780E" w:rsidRDefault="005B2924" w:rsidP="007D4653">
            <w:pPr>
              <w:pStyle w:val="NoSpacing"/>
              <w:rPr>
                <w:rFonts w:ascii="Cambria" w:hAnsi="Cambria"/>
                <w:sz w:val="22"/>
                <w:szCs w:val="22"/>
              </w:rPr>
            </w:pPr>
            <w:r w:rsidRPr="0058780E">
              <w:rPr>
                <w:rFonts w:ascii="Cambria" w:hAnsi="Cambria"/>
                <w:sz w:val="22"/>
                <w:szCs w:val="22"/>
              </w:rPr>
              <w:t>University Supervisor</w:t>
            </w:r>
          </w:p>
        </w:tc>
        <w:tc>
          <w:tcPr>
            <w:tcW w:w="4974" w:type="dxa"/>
            <w:vAlign w:val="center"/>
          </w:tcPr>
          <w:p w14:paraId="745DDFE7" w14:textId="77777777" w:rsidR="005B2924" w:rsidRPr="0058780E" w:rsidRDefault="005B2924" w:rsidP="007D4653">
            <w:pPr>
              <w:pStyle w:val="NoSpacing"/>
              <w:rPr>
                <w:rFonts w:ascii="Cambria" w:hAnsi="Cambria"/>
                <w:sz w:val="22"/>
                <w:szCs w:val="22"/>
              </w:rPr>
            </w:pPr>
            <w:r w:rsidRPr="0058780E">
              <w:rPr>
                <w:rFonts w:ascii="Cambria" w:hAnsi="Cambria"/>
                <w:sz w:val="22"/>
                <w:szCs w:val="22"/>
              </w:rPr>
              <w:t xml:space="preserve">Subject/Grade </w:t>
            </w:r>
          </w:p>
        </w:tc>
      </w:tr>
      <w:tr w:rsidR="005B2924" w:rsidRPr="0058780E" w14:paraId="04B90FD0" w14:textId="77777777" w:rsidTr="007D4653">
        <w:trPr>
          <w:trHeight w:val="432"/>
          <w:jc w:val="center"/>
        </w:trPr>
        <w:tc>
          <w:tcPr>
            <w:tcW w:w="4698" w:type="dxa"/>
            <w:vAlign w:val="center"/>
          </w:tcPr>
          <w:p w14:paraId="186E1C7E" w14:textId="77777777" w:rsidR="005B2924" w:rsidRPr="0058780E" w:rsidRDefault="005B2924" w:rsidP="007D4653">
            <w:pPr>
              <w:pStyle w:val="NoSpacing"/>
              <w:rPr>
                <w:rFonts w:ascii="Cambria" w:hAnsi="Cambria"/>
                <w:sz w:val="22"/>
                <w:szCs w:val="22"/>
              </w:rPr>
            </w:pPr>
            <w:r w:rsidRPr="0058780E">
              <w:rPr>
                <w:rFonts w:ascii="Cambria" w:hAnsi="Cambria"/>
                <w:sz w:val="22"/>
                <w:szCs w:val="22"/>
              </w:rPr>
              <w:t>Lesson Topic</w:t>
            </w:r>
          </w:p>
        </w:tc>
        <w:tc>
          <w:tcPr>
            <w:tcW w:w="4974" w:type="dxa"/>
            <w:vAlign w:val="center"/>
          </w:tcPr>
          <w:p w14:paraId="5347CE10" w14:textId="77777777" w:rsidR="005B2924" w:rsidRPr="0058780E" w:rsidRDefault="005B2924" w:rsidP="007D4653">
            <w:pPr>
              <w:pStyle w:val="NoSpacing"/>
              <w:rPr>
                <w:rFonts w:ascii="Cambria" w:hAnsi="Cambria"/>
                <w:sz w:val="22"/>
                <w:szCs w:val="22"/>
              </w:rPr>
            </w:pPr>
            <w:r w:rsidRPr="0058780E">
              <w:rPr>
                <w:rFonts w:ascii="Cambria" w:hAnsi="Cambria"/>
                <w:sz w:val="22"/>
                <w:szCs w:val="22"/>
              </w:rPr>
              <w:t>Evaluator</w:t>
            </w:r>
          </w:p>
        </w:tc>
      </w:tr>
      <w:bookmarkEnd w:id="1"/>
    </w:tbl>
    <w:p w14:paraId="4AA0436D" w14:textId="77777777" w:rsidR="005B2924" w:rsidRPr="0058780E" w:rsidRDefault="005B2924" w:rsidP="005B2924">
      <w:pPr>
        <w:jc w:val="center"/>
        <w:rPr>
          <w:rFonts w:ascii="Cambria" w:hAnsi="Cambria"/>
          <w:b/>
          <w:sz w:val="24"/>
        </w:rPr>
      </w:pPr>
    </w:p>
    <w:p w14:paraId="01479487" w14:textId="77777777" w:rsidR="005B2924" w:rsidRPr="0058780E" w:rsidRDefault="005B2924" w:rsidP="005B2924">
      <w:pPr>
        <w:jc w:val="center"/>
        <w:rPr>
          <w:rFonts w:ascii="Cambria" w:hAnsi="Cambria"/>
          <w:b/>
          <w:sz w:val="28"/>
        </w:rPr>
      </w:pPr>
    </w:p>
    <w:p w14:paraId="3219B00C" w14:textId="77777777" w:rsidR="005B2924" w:rsidRPr="0058780E" w:rsidRDefault="005B2924" w:rsidP="005B2924">
      <w:pPr>
        <w:rPr>
          <w:rFonts w:ascii="Cambria" w:hAnsi="Cambria"/>
          <w:sz w:val="24"/>
        </w:rPr>
      </w:pPr>
      <w:r w:rsidRPr="0058780E">
        <w:rPr>
          <w:rFonts w:ascii="Cambria" w:hAnsi="Cambria"/>
          <w:sz w:val="24"/>
        </w:rPr>
        <w:t xml:space="preserve">Science Education students are required to teach at least two inquiry lessons that address key concepts for the course.  The following evaluation is to be completed by the classroom teacher for one inquiry lesson and university supervisor for the other inquiry lesson.  This can be completed in conjunction with other evaluations. </w:t>
      </w:r>
    </w:p>
    <w:p w14:paraId="1E838E42" w14:textId="77777777" w:rsidR="005B2924" w:rsidRPr="0058780E" w:rsidRDefault="005B2924" w:rsidP="005B2924">
      <w:pPr>
        <w:rPr>
          <w:rFonts w:ascii="Cambria" w:hAnsi="Cambria"/>
          <w:sz w:val="24"/>
          <w:u w:val="single"/>
        </w:rPr>
      </w:pPr>
    </w:p>
    <w:p w14:paraId="37F54D69" w14:textId="77777777" w:rsidR="005B2924" w:rsidRPr="0058780E" w:rsidRDefault="005B2924" w:rsidP="005B2924">
      <w:pPr>
        <w:rPr>
          <w:rFonts w:ascii="Cambria" w:hAnsi="Cambria"/>
          <w:sz w:val="24"/>
        </w:rPr>
      </w:pPr>
    </w:p>
    <w:p w14:paraId="58A785A7" w14:textId="77777777" w:rsidR="005B2924" w:rsidRPr="0058780E" w:rsidRDefault="005B2924" w:rsidP="005B2924">
      <w:pPr>
        <w:rPr>
          <w:rFonts w:ascii="Cambria" w:hAnsi="Cambria"/>
          <w:b/>
          <w:sz w:val="24"/>
        </w:rPr>
      </w:pPr>
      <w:r w:rsidRPr="0058780E">
        <w:rPr>
          <w:rFonts w:ascii="Cambria" w:hAnsi="Cambria"/>
          <w:b/>
          <w:sz w:val="24"/>
        </w:rPr>
        <w:t>Evaluation Criteria</w:t>
      </w:r>
    </w:p>
    <w:p w14:paraId="2DBF4B5C" w14:textId="77777777" w:rsidR="005B2924" w:rsidRPr="0058780E" w:rsidRDefault="005B2924" w:rsidP="005B2924">
      <w:pPr>
        <w:rPr>
          <w:rFonts w:ascii="Cambria" w:hAnsi="Cambria"/>
          <w:sz w:val="22"/>
        </w:rPr>
      </w:pPr>
      <w:r w:rsidRPr="0058780E">
        <w:rPr>
          <w:rFonts w:ascii="Cambria" w:hAnsi="Cambria"/>
          <w:sz w:val="22"/>
        </w:rPr>
        <w:t>Students must be at a level of developing in order to meet the inquiry standard.  A student scoring unsatisfactory on this standard will require a remediation plan and a subsequent evaluation.</w:t>
      </w:r>
    </w:p>
    <w:p w14:paraId="1EBACD49" w14:textId="77777777" w:rsidR="005B2924" w:rsidRPr="0058780E" w:rsidRDefault="005B2924" w:rsidP="005B2924">
      <w:pPr>
        <w:rPr>
          <w:rFonts w:ascii="Cambria" w:hAnsi="Cambria"/>
          <w:sz w:val="22"/>
        </w:rPr>
      </w:pPr>
    </w:p>
    <w:p w14:paraId="7F621A38" w14:textId="77777777" w:rsidR="005B2924" w:rsidRPr="0058780E" w:rsidRDefault="005B2924" w:rsidP="005B2924">
      <w:pPr>
        <w:rPr>
          <w:rFonts w:ascii="Cambria" w:hAnsi="Cambria"/>
          <w:b/>
          <w:sz w:val="24"/>
        </w:rPr>
      </w:pPr>
      <w:r w:rsidRPr="0058780E">
        <w:rPr>
          <w:rFonts w:ascii="Cambria" w:hAnsi="Cambria"/>
          <w:b/>
          <w:sz w:val="24"/>
        </w:rPr>
        <w:t>Unsatisfactory--1</w:t>
      </w:r>
    </w:p>
    <w:p w14:paraId="7194D917" w14:textId="77777777" w:rsidR="005B2924" w:rsidRPr="0058780E" w:rsidRDefault="005B2924" w:rsidP="005B2924">
      <w:pPr>
        <w:rPr>
          <w:rFonts w:ascii="Cambria" w:hAnsi="Cambria"/>
          <w:sz w:val="22"/>
        </w:rPr>
      </w:pPr>
      <w:r w:rsidRPr="0058780E">
        <w:rPr>
          <w:rFonts w:ascii="Cambria" w:hAnsi="Cambria"/>
          <w:sz w:val="22"/>
        </w:rPr>
        <w:t>Pre-assessments and formative assessments are not included.  Candidates lead students through a verification or “cookbook” laboratory.  Rather than facilitating student understanding of the scientific concept after students have had the opportunity to explore it fully, the candidate explains the concept before the investigation.  None of the five characteristics of inquiry mentioned in proficient are observed.</w:t>
      </w:r>
    </w:p>
    <w:p w14:paraId="76594635" w14:textId="77777777" w:rsidR="005B2924" w:rsidRPr="0058780E" w:rsidRDefault="005B2924" w:rsidP="005B2924">
      <w:pPr>
        <w:rPr>
          <w:rFonts w:ascii="Cambria" w:hAnsi="Cambria"/>
          <w:b/>
          <w:sz w:val="22"/>
        </w:rPr>
      </w:pPr>
    </w:p>
    <w:p w14:paraId="59E74D06" w14:textId="77777777" w:rsidR="005B2924" w:rsidRPr="0058780E" w:rsidRDefault="005B2924" w:rsidP="005B2924">
      <w:pPr>
        <w:rPr>
          <w:rFonts w:ascii="Cambria" w:hAnsi="Cambria"/>
          <w:b/>
          <w:sz w:val="24"/>
        </w:rPr>
      </w:pPr>
      <w:r w:rsidRPr="0058780E">
        <w:rPr>
          <w:rFonts w:ascii="Cambria" w:hAnsi="Cambria"/>
          <w:b/>
          <w:sz w:val="24"/>
        </w:rPr>
        <w:t>Developing--2</w:t>
      </w:r>
    </w:p>
    <w:p w14:paraId="1982BD11" w14:textId="77777777" w:rsidR="005B2924" w:rsidRPr="0058780E" w:rsidRDefault="005B2924" w:rsidP="005B2924">
      <w:pPr>
        <w:rPr>
          <w:rFonts w:ascii="Cambria" w:hAnsi="Cambria"/>
          <w:sz w:val="22"/>
        </w:rPr>
      </w:pPr>
      <w:r w:rsidRPr="0058780E">
        <w:rPr>
          <w:rFonts w:ascii="Cambria" w:hAnsi="Cambria"/>
          <w:sz w:val="22"/>
        </w:rPr>
        <w:t>Pre-assessment and formative assessment may or may not be included, but how that information is used to inform instruction is unclear or there may be a more appropriate way to conduct assessment.  Candidates engage students in a “cookbook” laboratory in which questions, procedures, and data organization/analysis are all given to students.  Following the laboratory, candidate attempts to connect findings and conclusions to the objectives or concepts being studied.</w:t>
      </w:r>
    </w:p>
    <w:p w14:paraId="479BFF81" w14:textId="77777777" w:rsidR="005B2924" w:rsidRPr="0058780E" w:rsidRDefault="005B2924" w:rsidP="005B2924">
      <w:pPr>
        <w:rPr>
          <w:rFonts w:ascii="Cambria" w:hAnsi="Cambria"/>
          <w:b/>
          <w:sz w:val="22"/>
        </w:rPr>
      </w:pPr>
    </w:p>
    <w:p w14:paraId="46A5D8E5" w14:textId="77777777" w:rsidR="005B2924" w:rsidRPr="0058780E" w:rsidRDefault="005B2924" w:rsidP="005B2924">
      <w:pPr>
        <w:rPr>
          <w:rFonts w:ascii="Cambria" w:hAnsi="Cambria"/>
          <w:b/>
          <w:sz w:val="24"/>
        </w:rPr>
      </w:pPr>
      <w:r w:rsidRPr="0058780E">
        <w:rPr>
          <w:rFonts w:ascii="Cambria" w:hAnsi="Cambria"/>
          <w:b/>
          <w:sz w:val="24"/>
        </w:rPr>
        <w:t>Proficient--3</w:t>
      </w:r>
    </w:p>
    <w:p w14:paraId="637EABA5" w14:textId="77777777" w:rsidR="005B2924" w:rsidRPr="0058780E" w:rsidRDefault="005B2924" w:rsidP="005B2924">
      <w:pPr>
        <w:rPr>
          <w:rFonts w:ascii="Cambria" w:hAnsi="Cambria"/>
          <w:sz w:val="22"/>
        </w:rPr>
      </w:pPr>
      <w:r w:rsidRPr="0058780E">
        <w:rPr>
          <w:rFonts w:ascii="Cambria" w:hAnsi="Cambria"/>
          <w:sz w:val="22"/>
        </w:rPr>
        <w:t>Candidates must elicit student prior knowledge and connect their current understandings with scientifically accepted explanations.  Candidates must also include formative assessments in their lesson that inform instruction and are meaningful to students.  In addition, the candidates must engage their students in two or more of the following:</w:t>
      </w:r>
    </w:p>
    <w:p w14:paraId="0D8BCCB6" w14:textId="77777777" w:rsidR="005B2924" w:rsidRPr="0058780E" w:rsidRDefault="005B2924" w:rsidP="005B2924">
      <w:pPr>
        <w:numPr>
          <w:ilvl w:val="1"/>
          <w:numId w:val="1"/>
        </w:numPr>
        <w:rPr>
          <w:rFonts w:ascii="Cambria" w:hAnsi="Cambria"/>
          <w:sz w:val="22"/>
        </w:rPr>
      </w:pPr>
      <w:r w:rsidRPr="0058780E">
        <w:rPr>
          <w:rFonts w:ascii="Cambria" w:hAnsi="Cambria"/>
          <w:sz w:val="22"/>
        </w:rPr>
        <w:t>Students develop scientifically oriented questions.</w:t>
      </w:r>
    </w:p>
    <w:p w14:paraId="47390795" w14:textId="77777777" w:rsidR="005B2924" w:rsidRPr="0058780E" w:rsidRDefault="005B2924" w:rsidP="005B2924">
      <w:pPr>
        <w:numPr>
          <w:ilvl w:val="1"/>
          <w:numId w:val="1"/>
        </w:numPr>
        <w:rPr>
          <w:rFonts w:ascii="Cambria" w:hAnsi="Cambria"/>
          <w:sz w:val="22"/>
        </w:rPr>
      </w:pPr>
      <w:r w:rsidRPr="0058780E">
        <w:rPr>
          <w:rFonts w:ascii="Cambria" w:hAnsi="Cambria"/>
          <w:sz w:val="22"/>
        </w:rPr>
        <w:t xml:space="preserve">Students develop and then follow their own procedure that seeks to answer the question posed. </w:t>
      </w:r>
    </w:p>
    <w:p w14:paraId="71E4B212" w14:textId="77777777" w:rsidR="005B2924" w:rsidRPr="0058780E" w:rsidRDefault="005B2924" w:rsidP="005B2924">
      <w:pPr>
        <w:numPr>
          <w:ilvl w:val="1"/>
          <w:numId w:val="1"/>
        </w:numPr>
        <w:rPr>
          <w:rFonts w:ascii="Cambria" w:hAnsi="Cambria"/>
          <w:sz w:val="22"/>
        </w:rPr>
      </w:pPr>
      <w:r w:rsidRPr="0058780E">
        <w:rPr>
          <w:rFonts w:ascii="Cambria" w:hAnsi="Cambria"/>
          <w:sz w:val="22"/>
        </w:rPr>
        <w:lastRenderedPageBreak/>
        <w:t>Students determine what constitutes evidence and systematically organize and analyze the data collected.</w:t>
      </w:r>
    </w:p>
    <w:p w14:paraId="6D905FA9" w14:textId="77777777" w:rsidR="005B2924" w:rsidRPr="0058780E" w:rsidRDefault="005B2924" w:rsidP="005B2924">
      <w:pPr>
        <w:numPr>
          <w:ilvl w:val="1"/>
          <w:numId w:val="1"/>
        </w:numPr>
        <w:rPr>
          <w:rFonts w:ascii="Cambria" w:hAnsi="Cambria"/>
          <w:sz w:val="22"/>
        </w:rPr>
      </w:pPr>
      <w:r w:rsidRPr="0058780E">
        <w:rPr>
          <w:rFonts w:ascii="Cambria" w:hAnsi="Cambria"/>
          <w:sz w:val="22"/>
        </w:rPr>
        <w:t>Students formulate evidence-based explanations after summarizing data collected.</w:t>
      </w:r>
    </w:p>
    <w:p w14:paraId="56B2D1CD" w14:textId="77777777" w:rsidR="005B2924" w:rsidRPr="0058780E" w:rsidRDefault="005B2924" w:rsidP="005B2924">
      <w:pPr>
        <w:numPr>
          <w:ilvl w:val="1"/>
          <w:numId w:val="1"/>
        </w:numPr>
        <w:rPr>
          <w:rFonts w:ascii="Cambria" w:hAnsi="Cambria"/>
          <w:sz w:val="22"/>
        </w:rPr>
      </w:pPr>
      <w:r w:rsidRPr="0058780E">
        <w:rPr>
          <w:rFonts w:ascii="Cambria" w:hAnsi="Cambria"/>
          <w:sz w:val="22"/>
        </w:rPr>
        <w:t xml:space="preserve">Students connect explanations of data to scientific knowledge. </w:t>
      </w:r>
    </w:p>
    <w:p w14:paraId="2527859C" w14:textId="77777777" w:rsidR="005B2924" w:rsidRPr="0058780E" w:rsidRDefault="005B2924" w:rsidP="005B2924">
      <w:pPr>
        <w:rPr>
          <w:rFonts w:ascii="Cambria" w:hAnsi="Cambria"/>
          <w:b/>
          <w:sz w:val="22"/>
        </w:rPr>
      </w:pPr>
    </w:p>
    <w:p w14:paraId="783D66DE" w14:textId="77777777" w:rsidR="005B2924" w:rsidRPr="0058780E" w:rsidRDefault="005B2924" w:rsidP="005B2924">
      <w:pPr>
        <w:rPr>
          <w:rFonts w:ascii="Cambria" w:hAnsi="Cambria"/>
          <w:b/>
          <w:sz w:val="24"/>
        </w:rPr>
      </w:pPr>
      <w:r w:rsidRPr="0058780E">
        <w:rPr>
          <w:rFonts w:ascii="Cambria" w:hAnsi="Cambria"/>
          <w:b/>
          <w:sz w:val="24"/>
        </w:rPr>
        <w:t>Exemplar--4</w:t>
      </w:r>
    </w:p>
    <w:p w14:paraId="66A05180" w14:textId="77777777" w:rsidR="005B2924" w:rsidRPr="0058780E" w:rsidRDefault="005B2924" w:rsidP="005B2924">
      <w:pPr>
        <w:rPr>
          <w:rFonts w:ascii="Cambria" w:hAnsi="Cambria"/>
          <w:sz w:val="22"/>
        </w:rPr>
      </w:pPr>
      <w:r w:rsidRPr="0058780E">
        <w:rPr>
          <w:rFonts w:ascii="Cambria" w:hAnsi="Cambria"/>
          <w:sz w:val="22"/>
        </w:rPr>
        <w:t>Candidates must elicit student prior knowledge and connect their current understandings with scientifically accepted explanations.  Candidates must also include formative assessments in their lesson that inform instruction and are meaningful to students.  In addition, the candidates must engage their students in four or more of the following:</w:t>
      </w:r>
    </w:p>
    <w:p w14:paraId="2F638945" w14:textId="77777777" w:rsidR="005B2924" w:rsidRPr="0058780E" w:rsidRDefault="005B2924" w:rsidP="005B2924">
      <w:pPr>
        <w:numPr>
          <w:ilvl w:val="0"/>
          <w:numId w:val="2"/>
        </w:numPr>
        <w:rPr>
          <w:rFonts w:ascii="Cambria" w:hAnsi="Cambria"/>
          <w:sz w:val="22"/>
        </w:rPr>
      </w:pPr>
      <w:r w:rsidRPr="0058780E">
        <w:rPr>
          <w:rFonts w:ascii="Cambria" w:hAnsi="Cambria"/>
          <w:sz w:val="22"/>
        </w:rPr>
        <w:t>Students develop scientifically oriented questions.</w:t>
      </w:r>
    </w:p>
    <w:p w14:paraId="1895F9E1" w14:textId="77777777" w:rsidR="005B2924" w:rsidRPr="0058780E" w:rsidRDefault="005B2924" w:rsidP="005B2924">
      <w:pPr>
        <w:numPr>
          <w:ilvl w:val="0"/>
          <w:numId w:val="2"/>
        </w:numPr>
        <w:rPr>
          <w:rFonts w:ascii="Cambria" w:hAnsi="Cambria"/>
          <w:sz w:val="22"/>
        </w:rPr>
      </w:pPr>
      <w:r w:rsidRPr="0058780E">
        <w:rPr>
          <w:rFonts w:ascii="Cambria" w:hAnsi="Cambria"/>
          <w:sz w:val="22"/>
        </w:rPr>
        <w:t>Students develop and then follow their own procedure that seeks to answer the question posed.</w:t>
      </w:r>
    </w:p>
    <w:p w14:paraId="4C9FF019" w14:textId="77777777" w:rsidR="005B2924" w:rsidRPr="0058780E" w:rsidRDefault="005B2924" w:rsidP="005B2924">
      <w:pPr>
        <w:numPr>
          <w:ilvl w:val="0"/>
          <w:numId w:val="2"/>
        </w:numPr>
        <w:rPr>
          <w:rFonts w:ascii="Cambria" w:hAnsi="Cambria"/>
          <w:sz w:val="22"/>
        </w:rPr>
      </w:pPr>
      <w:r w:rsidRPr="0058780E">
        <w:rPr>
          <w:rFonts w:ascii="Cambria" w:hAnsi="Cambria"/>
          <w:sz w:val="22"/>
        </w:rPr>
        <w:t>Students determine what constitutes evidence and systematically organize and analyze the data collected.</w:t>
      </w:r>
    </w:p>
    <w:p w14:paraId="2ECAD43D" w14:textId="77777777" w:rsidR="005B2924" w:rsidRPr="0058780E" w:rsidRDefault="005B2924" w:rsidP="005B2924">
      <w:pPr>
        <w:numPr>
          <w:ilvl w:val="0"/>
          <w:numId w:val="2"/>
        </w:numPr>
        <w:rPr>
          <w:rFonts w:ascii="Cambria" w:hAnsi="Cambria"/>
          <w:sz w:val="22"/>
        </w:rPr>
      </w:pPr>
      <w:r w:rsidRPr="0058780E">
        <w:rPr>
          <w:rFonts w:ascii="Cambria" w:hAnsi="Cambria"/>
          <w:sz w:val="22"/>
        </w:rPr>
        <w:t>Students formulate evidence-based explanations after summarizing data collected.</w:t>
      </w:r>
    </w:p>
    <w:p w14:paraId="363CE3E1" w14:textId="77777777" w:rsidR="005B2924" w:rsidRPr="0058780E" w:rsidRDefault="005B2924" w:rsidP="005B2924">
      <w:pPr>
        <w:numPr>
          <w:ilvl w:val="0"/>
          <w:numId w:val="2"/>
        </w:numPr>
        <w:rPr>
          <w:rFonts w:ascii="Cambria" w:hAnsi="Cambria"/>
          <w:sz w:val="22"/>
        </w:rPr>
      </w:pPr>
      <w:r w:rsidRPr="0058780E">
        <w:rPr>
          <w:rFonts w:ascii="Cambria" w:hAnsi="Cambria"/>
          <w:sz w:val="22"/>
        </w:rPr>
        <w:t xml:space="preserve">Students connect explanations of data to scientific knowledge. </w:t>
      </w:r>
    </w:p>
    <w:p w14:paraId="58FEFFA9" w14:textId="77777777" w:rsidR="005B2924" w:rsidRPr="0058780E" w:rsidRDefault="005B2924" w:rsidP="005B2924">
      <w:pPr>
        <w:rPr>
          <w:rFonts w:ascii="Cambria" w:hAnsi="Cambria"/>
          <w:sz w:val="22"/>
        </w:rPr>
      </w:pPr>
    </w:p>
    <w:p w14:paraId="49A2D6D4" w14:textId="77777777" w:rsidR="005B2924" w:rsidRPr="0058780E" w:rsidRDefault="005B2924" w:rsidP="005B2924">
      <w:pPr>
        <w:rPr>
          <w:rFonts w:ascii="Cambria" w:hAnsi="Cambria"/>
          <w:sz w:val="22"/>
        </w:rPr>
      </w:pPr>
    </w:p>
    <w:p w14:paraId="07185418" w14:textId="77777777" w:rsidR="005B2924" w:rsidRPr="0058780E" w:rsidRDefault="005B2924" w:rsidP="005B2924">
      <w:pPr>
        <w:rPr>
          <w:rFonts w:ascii="Cambria" w:hAnsi="Cambria"/>
          <w:sz w:val="22"/>
        </w:rPr>
      </w:pPr>
      <w:r>
        <w:rPr>
          <w:rFonts w:ascii="Cambria" w:hAnsi="Cambria"/>
          <w:noProof/>
          <w:sz w:val="22"/>
        </w:rPr>
        <mc:AlternateContent>
          <mc:Choice Requires="wps">
            <w:drawing>
              <wp:anchor distT="0" distB="0" distL="114300" distR="114300" simplePos="0" relativeHeight="251659264" behindDoc="0" locked="0" layoutInCell="1" allowOverlap="1" wp14:anchorId="201455AE" wp14:editId="4727B4E0">
                <wp:simplePos x="0" y="0"/>
                <wp:positionH relativeFrom="column">
                  <wp:posOffset>1417955</wp:posOffset>
                </wp:positionH>
                <wp:positionV relativeFrom="paragraph">
                  <wp:posOffset>111760</wp:posOffset>
                </wp:positionV>
                <wp:extent cx="1061720" cy="304165"/>
                <wp:effectExtent l="0" t="0" r="952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304165"/>
                        </a:xfrm>
                        <a:prstGeom prst="rect">
                          <a:avLst/>
                        </a:prstGeom>
                        <a:solidFill>
                          <a:srgbClr val="FFFFFF"/>
                        </a:solidFill>
                        <a:ln w="9525">
                          <a:solidFill>
                            <a:srgbClr val="000000"/>
                          </a:solidFill>
                          <a:miter lim="800000"/>
                          <a:headEnd/>
                          <a:tailEnd/>
                        </a:ln>
                      </wps:spPr>
                      <wps:txbx>
                        <w:txbxContent>
                          <w:p w14:paraId="5952C5D9" w14:textId="77777777" w:rsidR="005B2924" w:rsidRPr="007A5C9B" w:rsidRDefault="005B2924" w:rsidP="005B2924">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455AE" id="_x0000_t202" coordsize="21600,21600" o:spt="202" path="m,l,21600r21600,l21600,xe">
                <v:stroke joinstyle="miter"/>
                <v:path gradientshapeok="t" o:connecttype="rect"/>
              </v:shapetype>
              <v:shape id="Text Box 2" o:spid="_x0000_s1026" type="#_x0000_t202" style="position:absolute;margin-left:111.65pt;margin-top:8.8pt;width:83.6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">
                <v:textbox>
                  <w:txbxContent>
                    <w:p w14:paraId="5952C5D9" w14:textId="77777777" w:rsidR="005B2924" w:rsidRPr="007A5C9B" w:rsidRDefault="005B2924" w:rsidP="005B2924">
                      <w:pPr>
                        <w:rPr>
                          <w:rFonts w:ascii="Arial" w:hAnsi="Arial" w:cs="Arial"/>
                          <w:b/>
                          <w:sz w:val="24"/>
                          <w:szCs w:val="24"/>
                        </w:rPr>
                      </w:pPr>
                    </w:p>
                  </w:txbxContent>
                </v:textbox>
              </v:shape>
            </w:pict>
          </mc:Fallback>
        </mc:AlternateContent>
      </w:r>
    </w:p>
    <w:p w14:paraId="4B5EBE5C" w14:textId="77777777" w:rsidR="005B2924" w:rsidRPr="0058780E" w:rsidRDefault="005B2924" w:rsidP="005B2924">
      <w:pPr>
        <w:rPr>
          <w:rFonts w:ascii="Cambria" w:hAnsi="Cambria"/>
          <w:b/>
          <w:sz w:val="22"/>
        </w:rPr>
      </w:pPr>
      <w:r w:rsidRPr="0058780E">
        <w:rPr>
          <w:rFonts w:ascii="Cambria" w:hAnsi="Cambria"/>
          <w:b/>
          <w:sz w:val="22"/>
        </w:rPr>
        <w:t xml:space="preserve">Student’s Score (1-4): </w:t>
      </w:r>
    </w:p>
    <w:p w14:paraId="0CB9BE9E" w14:textId="77777777" w:rsidR="005B2924" w:rsidRPr="0058780E" w:rsidRDefault="005B2924" w:rsidP="005B2924">
      <w:pPr>
        <w:rPr>
          <w:rFonts w:ascii="Cambria" w:hAnsi="Cambria"/>
          <w:sz w:val="22"/>
        </w:rPr>
      </w:pPr>
    </w:p>
    <w:p w14:paraId="4CD27C27" w14:textId="77777777" w:rsidR="005B2924" w:rsidRPr="0058780E" w:rsidRDefault="005B2924" w:rsidP="005B2924">
      <w:pPr>
        <w:rPr>
          <w:rFonts w:ascii="Cambria" w:hAnsi="Cambria"/>
          <w:sz w:val="22"/>
        </w:rPr>
      </w:pPr>
    </w:p>
    <w:p w14:paraId="41F1CC52" w14:textId="77777777" w:rsidR="005B2924" w:rsidRPr="0058780E" w:rsidRDefault="005B2924" w:rsidP="005B2924">
      <w:pPr>
        <w:rPr>
          <w:rFonts w:ascii="Cambria" w:hAnsi="Cambria"/>
          <w:sz w:val="22"/>
        </w:rPr>
      </w:pPr>
    </w:p>
    <w:p w14:paraId="74382BB2" w14:textId="77777777" w:rsidR="005B2924" w:rsidRPr="0058780E" w:rsidRDefault="005B2924" w:rsidP="005B2924">
      <w:pPr>
        <w:rPr>
          <w:rFonts w:ascii="Cambria" w:hAnsi="Cambria"/>
          <w:b/>
          <w:sz w:val="22"/>
        </w:rPr>
      </w:pPr>
      <w:r w:rsidRPr="0058780E">
        <w:rPr>
          <w:rFonts w:ascii="Cambria" w:hAnsi="Cambria"/>
          <w:b/>
          <w:sz w:val="22"/>
        </w:rPr>
        <w:t>Rationale for score (including strengths observed as well as areas in need of improvement):</w:t>
      </w:r>
    </w:p>
    <w:p w14:paraId="29F13790" w14:textId="77777777" w:rsidR="005B2924" w:rsidRPr="0058780E" w:rsidRDefault="005B2924" w:rsidP="005B2924">
      <w:pPr>
        <w:rPr>
          <w:rFonts w:ascii="Cambria" w:hAnsi="Cambria"/>
          <w:sz w:val="22"/>
        </w:rPr>
      </w:pPr>
    </w:p>
    <w:p w14:paraId="25ED585F" w14:textId="77777777" w:rsidR="005B2924" w:rsidRPr="0058780E" w:rsidRDefault="005B2924" w:rsidP="005B2924">
      <w:pPr>
        <w:rPr>
          <w:rFonts w:ascii="Cambria" w:hAnsi="Cambria"/>
          <w:sz w:val="22"/>
        </w:rPr>
      </w:pPr>
    </w:p>
    <w:p w14:paraId="1D63EBD0" w14:textId="77777777" w:rsidR="005B2924" w:rsidRPr="0058780E" w:rsidRDefault="005B2924" w:rsidP="005B2924">
      <w:pPr>
        <w:rPr>
          <w:rFonts w:ascii="Cambria" w:hAnsi="Cambria"/>
          <w:sz w:val="22"/>
        </w:rPr>
      </w:pPr>
    </w:p>
    <w:p w14:paraId="1D5A3FFD" w14:textId="77777777" w:rsidR="005B2924" w:rsidRPr="0058780E" w:rsidRDefault="005B2924" w:rsidP="005B2924">
      <w:pPr>
        <w:rPr>
          <w:rFonts w:ascii="Cambria" w:hAnsi="Cambria"/>
          <w:sz w:val="22"/>
        </w:rPr>
      </w:pPr>
    </w:p>
    <w:p w14:paraId="2A5593F2" w14:textId="77777777" w:rsidR="005B2924" w:rsidRPr="0058780E" w:rsidRDefault="005B2924" w:rsidP="005B2924">
      <w:pPr>
        <w:rPr>
          <w:rFonts w:ascii="Cambria" w:hAnsi="Cambria"/>
          <w:sz w:val="22"/>
        </w:rPr>
      </w:pPr>
    </w:p>
    <w:p w14:paraId="59666711" w14:textId="77777777" w:rsidR="005B2924" w:rsidRPr="0058780E" w:rsidRDefault="005B2924" w:rsidP="005B2924">
      <w:pPr>
        <w:rPr>
          <w:rFonts w:ascii="Cambria" w:hAnsi="Cambria"/>
          <w:sz w:val="22"/>
        </w:rPr>
      </w:pPr>
    </w:p>
    <w:p w14:paraId="26298902" w14:textId="77777777" w:rsidR="005B2924" w:rsidRPr="0058780E" w:rsidRDefault="005B2924" w:rsidP="005B2924">
      <w:pPr>
        <w:rPr>
          <w:rFonts w:ascii="Cambria" w:hAnsi="Cambria"/>
          <w:sz w:val="22"/>
        </w:rPr>
      </w:pPr>
    </w:p>
    <w:p w14:paraId="2279E7E5" w14:textId="77777777" w:rsidR="005B2924" w:rsidRPr="0058780E" w:rsidRDefault="005B2924" w:rsidP="005B2924">
      <w:pPr>
        <w:rPr>
          <w:rFonts w:ascii="Cambria" w:hAnsi="Cambria"/>
          <w:sz w:val="22"/>
        </w:rPr>
      </w:pPr>
    </w:p>
    <w:p w14:paraId="39C211AF" w14:textId="77777777" w:rsidR="005B2924" w:rsidRPr="0058780E" w:rsidRDefault="005B2924" w:rsidP="005B2924">
      <w:pPr>
        <w:rPr>
          <w:rFonts w:ascii="Cambria" w:hAnsi="Cambria"/>
          <w:sz w:val="22"/>
        </w:rPr>
      </w:pPr>
    </w:p>
    <w:p w14:paraId="652D4A14" w14:textId="55709BDC" w:rsidR="005B2924" w:rsidRPr="0058780E" w:rsidRDefault="00A77DFC" w:rsidP="005B2924">
      <w:pPr>
        <w:rPr>
          <w:rFonts w:ascii="Cambria" w:hAnsi="Cambria"/>
          <w:sz w:val="22"/>
        </w:rPr>
      </w:pPr>
      <w:r>
        <w:rPr>
          <w:rFonts w:ascii="Cambria" w:hAnsi="Cambria"/>
          <w:sz w:val="22"/>
        </w:rPr>
        <w:t>Evaluator</w:t>
      </w:r>
      <w:r w:rsidR="005B2924" w:rsidRPr="0058780E">
        <w:rPr>
          <w:rFonts w:ascii="Cambria" w:hAnsi="Cambria"/>
          <w:sz w:val="22"/>
        </w:rPr>
        <w:t>:</w:t>
      </w:r>
      <w:r w:rsidR="005B2924" w:rsidRPr="0058780E">
        <w:rPr>
          <w:rFonts w:ascii="Cambria" w:hAnsi="Cambria"/>
          <w:sz w:val="22"/>
        </w:rPr>
        <w:tab/>
      </w:r>
      <w:r w:rsidR="005B2924" w:rsidRPr="0058780E">
        <w:rPr>
          <w:rFonts w:ascii="Cambria" w:hAnsi="Cambria"/>
          <w:sz w:val="22"/>
        </w:rPr>
        <w:tab/>
      </w:r>
      <w:r w:rsidR="005B2924" w:rsidRPr="0058780E">
        <w:rPr>
          <w:rFonts w:ascii="Cambria" w:hAnsi="Cambria"/>
          <w:sz w:val="22"/>
        </w:rPr>
        <w:tab/>
      </w:r>
      <w:r w:rsidR="005B2924" w:rsidRPr="0058780E">
        <w:rPr>
          <w:rFonts w:ascii="Cambria" w:hAnsi="Cambria"/>
          <w:sz w:val="22"/>
        </w:rPr>
        <w:tab/>
      </w:r>
      <w:r w:rsidR="005B2924" w:rsidRPr="0058780E">
        <w:rPr>
          <w:rFonts w:ascii="Cambria" w:hAnsi="Cambria"/>
          <w:sz w:val="22"/>
        </w:rPr>
        <w:tab/>
      </w:r>
      <w:r w:rsidR="005B2924" w:rsidRPr="0058780E">
        <w:rPr>
          <w:rFonts w:ascii="Cambria" w:hAnsi="Cambria"/>
          <w:sz w:val="22"/>
        </w:rPr>
        <w:tab/>
        <w:t xml:space="preserve">Date: </w:t>
      </w:r>
    </w:p>
    <w:sectPr w:rsidR="005B2924" w:rsidRPr="0058780E" w:rsidSect="00B43F0A">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8A0"/>
    <w:multiLevelType w:val="hybridMultilevel"/>
    <w:tmpl w:val="ED0C6772"/>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D131EA"/>
    <w:multiLevelType w:val="hybridMultilevel"/>
    <w:tmpl w:val="533ED7A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24"/>
    <w:rsid w:val="000931A3"/>
    <w:rsid w:val="005B2924"/>
    <w:rsid w:val="009E26EB"/>
    <w:rsid w:val="00A77DFC"/>
    <w:rsid w:val="00B56113"/>
    <w:rsid w:val="00B949BC"/>
    <w:rsid w:val="00D23114"/>
    <w:rsid w:val="00E07715"/>
    <w:rsid w:val="00F820F3"/>
    <w:rsid w:val="00FB3599"/>
    <w:rsid w:val="00FC5C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5728D"/>
  <w15:docId w15:val="{5046BD69-D7FA-43A9-BC38-B5905BF6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24"/>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924"/>
    <w:rPr>
      <w:rFonts w:ascii="Times New Roman" w:eastAsia="Times New Roman" w:hAnsi="Times New Roman" w:cs="Times New Roman"/>
      <w:sz w:val="20"/>
      <w:szCs w:val="20"/>
      <w:lang w:eastAsia="en-US"/>
    </w:rPr>
  </w:style>
  <w:style w:type="character" w:styleId="Hyperlink">
    <w:name w:val="Hyperlink"/>
    <w:uiPriority w:val="99"/>
    <w:unhideWhenUsed/>
    <w:rsid w:val="005B2924"/>
    <w:rPr>
      <w:color w:val="0000FF"/>
      <w:u w:val="single"/>
    </w:rPr>
  </w:style>
  <w:style w:type="paragraph" w:styleId="BalloonText">
    <w:name w:val="Balloon Text"/>
    <w:basedOn w:val="Normal"/>
    <w:link w:val="BalloonTextChar"/>
    <w:uiPriority w:val="99"/>
    <w:semiHidden/>
    <w:unhideWhenUsed/>
    <w:rsid w:val="005B29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924"/>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Visser</dc:creator>
  <cp:keywords/>
  <dc:description/>
  <cp:lastModifiedBy>Bill Millar</cp:lastModifiedBy>
  <cp:revision>6</cp:revision>
  <dcterms:created xsi:type="dcterms:W3CDTF">2013-03-28T13:40:00Z</dcterms:created>
  <dcterms:modified xsi:type="dcterms:W3CDTF">2017-01-17T00:44:00Z</dcterms:modified>
</cp:coreProperties>
</file>