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30" w:rsidRDefault="004B73AB" w:rsidP="00053630">
      <w:pPr>
        <w:spacing w:after="0" w:line="240" w:lineRule="auto"/>
        <w:rPr>
          <w:rFonts w:ascii="Times New Roman" w:eastAsia="Times New Roman" w:hAnsi="Times New Roman"/>
          <w:b/>
        </w:rPr>
      </w:pPr>
      <w:bookmarkStart w:id="0" w:name="_GoBack"/>
      <w:r>
        <w:rPr>
          <w:noProof/>
        </w:rPr>
        <w:drawing>
          <wp:anchor distT="0" distB="0" distL="114300" distR="114300" simplePos="0" relativeHeight="251659264" behindDoc="0" locked="0" layoutInCell="1" allowOverlap="1" wp14:anchorId="7EFA1627" wp14:editId="5B30C31D">
            <wp:simplePos x="0" y="0"/>
            <wp:positionH relativeFrom="column">
              <wp:posOffset>1946910</wp:posOffset>
            </wp:positionH>
            <wp:positionV relativeFrom="paragraph">
              <wp:posOffset>153035</wp:posOffset>
            </wp:positionV>
            <wp:extent cx="2286000" cy="6540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86000" cy="654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B73AB" w:rsidRDefault="004B73AB" w:rsidP="004B73AB">
      <w:pPr>
        <w:spacing w:after="0" w:line="240" w:lineRule="auto"/>
        <w:jc w:val="center"/>
        <w:rPr>
          <w:rFonts w:ascii="Times New Roman" w:eastAsia="Times New Roman" w:hAnsi="Times New Roman"/>
          <w:b/>
        </w:rPr>
      </w:pPr>
    </w:p>
    <w:p w:rsidR="004B73AB" w:rsidRDefault="004B73AB" w:rsidP="004B73AB">
      <w:pPr>
        <w:spacing w:after="0" w:line="240" w:lineRule="auto"/>
        <w:jc w:val="center"/>
        <w:rPr>
          <w:rFonts w:ascii="Times New Roman" w:eastAsia="Times New Roman" w:hAnsi="Times New Roman"/>
          <w:b/>
        </w:rPr>
      </w:pPr>
    </w:p>
    <w:p w:rsidR="004B73AB" w:rsidRDefault="004B73AB" w:rsidP="004B73AB">
      <w:pPr>
        <w:spacing w:after="0" w:line="240" w:lineRule="auto"/>
        <w:jc w:val="center"/>
        <w:rPr>
          <w:rFonts w:ascii="Times New Roman" w:eastAsia="Times New Roman" w:hAnsi="Times New Roman"/>
          <w:b/>
        </w:rPr>
      </w:pPr>
    </w:p>
    <w:p w:rsidR="00053630" w:rsidRDefault="00053630" w:rsidP="004B73AB">
      <w:pPr>
        <w:spacing w:after="0" w:line="240" w:lineRule="auto"/>
        <w:jc w:val="center"/>
        <w:rPr>
          <w:rFonts w:ascii="Times New Roman" w:eastAsia="Times New Roman" w:hAnsi="Times New Roman"/>
          <w:b/>
        </w:rPr>
      </w:pPr>
    </w:p>
    <w:p w:rsidR="00053630" w:rsidRDefault="00053630" w:rsidP="004B73AB">
      <w:pPr>
        <w:spacing w:after="0" w:line="240" w:lineRule="auto"/>
        <w:jc w:val="center"/>
        <w:rPr>
          <w:rFonts w:ascii="Times New Roman" w:eastAsia="Times New Roman" w:hAnsi="Times New Roman"/>
          <w:b/>
        </w:rPr>
      </w:pPr>
    </w:p>
    <w:p w:rsidR="004B73AB" w:rsidRPr="000E51EC" w:rsidRDefault="004B73AB" w:rsidP="004B73AB">
      <w:pPr>
        <w:spacing w:after="0" w:line="240" w:lineRule="auto"/>
        <w:jc w:val="center"/>
        <w:rPr>
          <w:rFonts w:ascii="Times New Roman" w:eastAsia="Times New Roman" w:hAnsi="Times New Roman"/>
          <w:b/>
        </w:rPr>
      </w:pPr>
      <w:r w:rsidRPr="000E51EC">
        <w:rPr>
          <w:rFonts w:ascii="Times New Roman" w:eastAsia="Times New Roman" w:hAnsi="Times New Roman"/>
          <w:b/>
        </w:rPr>
        <w:t>Electronic Portfolio Evaluation</w:t>
      </w:r>
    </w:p>
    <w:p w:rsidR="004B73AB" w:rsidRPr="000E51EC" w:rsidRDefault="004B73AB" w:rsidP="004B73AB">
      <w:pPr>
        <w:spacing w:after="0" w:line="240" w:lineRule="auto"/>
        <w:jc w:val="center"/>
        <w:rPr>
          <w:rFonts w:ascii="Times New Roman" w:eastAsia="Times New Roman" w:hAnsi="Times New Roman"/>
          <w:b/>
        </w:rPr>
      </w:pPr>
      <w:r w:rsidRPr="000E51EC">
        <w:rPr>
          <w:rFonts w:ascii="Times New Roman" w:eastAsia="Times New Roman" w:hAnsi="Times New Roman"/>
          <w:b/>
        </w:rPr>
        <w:t>ED SP 498</w:t>
      </w:r>
      <w:r>
        <w:rPr>
          <w:rFonts w:ascii="Times New Roman" w:eastAsia="Times New Roman" w:hAnsi="Times New Roman"/>
          <w:b/>
        </w:rPr>
        <w:t>0</w:t>
      </w:r>
      <w:r w:rsidRPr="000E51EC">
        <w:rPr>
          <w:rFonts w:ascii="Times New Roman" w:eastAsia="Times New Roman" w:hAnsi="Times New Roman"/>
          <w:b/>
        </w:rPr>
        <w:t xml:space="preserve"> Directed Teaching in Special Education</w:t>
      </w:r>
    </w:p>
    <w:p w:rsidR="004B73AB" w:rsidRPr="000E51EC" w:rsidRDefault="004B73AB" w:rsidP="004B73AB">
      <w:pPr>
        <w:spacing w:after="0" w:line="240" w:lineRule="auto"/>
        <w:ind w:left="-720" w:right="-720"/>
        <w:rPr>
          <w:rFonts w:ascii="Times New Roman" w:eastAsia="Times New Roman" w:hAnsi="Times New Roman"/>
        </w:rPr>
      </w:pPr>
    </w:p>
    <w:p w:rsidR="004B73AB" w:rsidRDefault="004B73AB" w:rsidP="004B73AB">
      <w:pPr>
        <w:spacing w:after="0" w:line="240" w:lineRule="auto"/>
        <w:ind w:left="-720" w:right="-720"/>
        <w:rPr>
          <w:rFonts w:ascii="Times New Roman" w:eastAsia="Times New Roman" w:hAnsi="Times New Roman"/>
        </w:rPr>
      </w:pPr>
      <w:r w:rsidRPr="000E51EC">
        <w:rPr>
          <w:rFonts w:ascii="Times New Roman" w:eastAsia="Times New Roman" w:hAnsi="Times New Roman"/>
        </w:rPr>
        <w:t>The Electronic Portfolio Evaluation is completed at the end of the student teaching requirement and reflects the candidate’s knowledge, skills, and dispositions across three standards: professional and ethical practice, collaboration, and language. The electronic portfolio is provided in digital format and is presented orally to the University supervisor, faculty, and other interested parties at the conclusion of student teaching. Candidates reflect upon and evaluate their own performance during the semester-long experience, u</w:t>
      </w:r>
      <w:r>
        <w:rPr>
          <w:rFonts w:ascii="Times New Roman" w:eastAsia="Times New Roman" w:hAnsi="Times New Roman"/>
        </w:rPr>
        <w:t>sing artifacts that represent 4</w:t>
      </w:r>
      <w:r w:rsidRPr="000E51EC">
        <w:rPr>
          <w:rFonts w:ascii="Times New Roman" w:eastAsia="Times New Roman" w:hAnsi="Times New Roman"/>
        </w:rPr>
        <w:t xml:space="preserve"> State-level teaching performance </w:t>
      </w:r>
      <w:r>
        <w:rPr>
          <w:rFonts w:ascii="Times New Roman" w:eastAsia="Times New Roman" w:hAnsi="Times New Roman"/>
        </w:rPr>
        <w:t>standards (i.e., South Carolina Teaching Standards</w:t>
      </w:r>
      <w:r w:rsidRPr="000E51EC">
        <w:rPr>
          <w:rFonts w:ascii="Times New Roman" w:eastAsia="Times New Roman" w:hAnsi="Times New Roman"/>
        </w:rPr>
        <w:t>). Candidates reflect on their own professional development and growth, including self-evaluation of their knowledge and skills regarding research-validated practices. They discuss their practices in relation to the field’s code of ethics, including participation in advocacy activities and professional organizations as well as the need to serve as a role model for their own students. Candidates reflect and evaluate their participation in collaborative activities, including communication, planning, coordination, and conferencing with othe</w:t>
      </w:r>
      <w:r>
        <w:rPr>
          <w:rFonts w:ascii="Times New Roman" w:eastAsia="Times New Roman" w:hAnsi="Times New Roman"/>
        </w:rPr>
        <w:t>r professionals, families, para-e</w:t>
      </w:r>
      <w:r w:rsidRPr="000E51EC">
        <w:rPr>
          <w:rFonts w:ascii="Times New Roman" w:eastAsia="Times New Roman" w:hAnsi="Times New Roman"/>
        </w:rPr>
        <w:t xml:space="preserve">ducators, and other related services personnel. Candidates discuss their roles in collaboration and the fostering of respectful relationships and cultural sensitivity. Candidates also discuss their repertoire of skills related to facilitating language among students with exceptional learning needs and demonstrate sensitivity toward students who are culturally or linguistically diverse. </w:t>
      </w:r>
    </w:p>
    <w:p w:rsidR="004B73AB" w:rsidRDefault="004B73AB" w:rsidP="004B73AB">
      <w:pPr>
        <w:spacing w:after="0" w:line="240" w:lineRule="auto"/>
        <w:ind w:left="-720" w:right="-720"/>
        <w:rPr>
          <w:rFonts w:ascii="Times New Roman" w:eastAsia="Times New Roman" w:hAnsi="Times New Roman"/>
        </w:rPr>
      </w:pPr>
    </w:p>
    <w:p w:rsidR="004B73AB" w:rsidRDefault="004B73AB" w:rsidP="004B73AB">
      <w:pPr>
        <w:spacing w:after="0" w:line="240" w:lineRule="auto"/>
        <w:ind w:left="-720" w:right="-720"/>
        <w:rPr>
          <w:rFonts w:ascii="Times New Roman" w:eastAsia="Times New Roman" w:hAnsi="Times New Roman"/>
          <w:b/>
        </w:rPr>
      </w:pPr>
      <w:r>
        <w:rPr>
          <w:rFonts w:ascii="Times New Roman" w:eastAsia="Times New Roman" w:hAnsi="Times New Roman"/>
        </w:rPr>
        <w:t>Candidates will need to</w:t>
      </w:r>
      <w:r w:rsidR="00053630">
        <w:rPr>
          <w:rFonts w:ascii="Times New Roman" w:eastAsia="Times New Roman" w:hAnsi="Times New Roman"/>
        </w:rPr>
        <w:t xml:space="preserve"> organize their portfolio into</w:t>
      </w:r>
      <w:r w:rsidR="00053630">
        <w:rPr>
          <w:rFonts w:ascii="Times New Roman" w:eastAsia="Times New Roman" w:hAnsi="Times New Roman"/>
          <w:b/>
        </w:rPr>
        <w:t xml:space="preserve"> </w:t>
      </w:r>
      <w:proofErr w:type="gramStart"/>
      <w:r w:rsidR="00053630">
        <w:rPr>
          <w:rFonts w:ascii="Times New Roman" w:eastAsia="Times New Roman" w:hAnsi="Times New Roman"/>
          <w:b/>
        </w:rPr>
        <w:t>Four</w:t>
      </w:r>
      <w:proofErr w:type="gramEnd"/>
      <w:r w:rsidR="00844F3A">
        <w:rPr>
          <w:rFonts w:ascii="Times New Roman" w:eastAsia="Times New Roman" w:hAnsi="Times New Roman"/>
        </w:rPr>
        <w:t xml:space="preserve"> domains. The</w:t>
      </w:r>
      <w:r>
        <w:rPr>
          <w:rFonts w:ascii="Times New Roman" w:eastAsia="Times New Roman" w:hAnsi="Times New Roman"/>
        </w:rPr>
        <w:t>se domains include:</w:t>
      </w:r>
      <w:r>
        <w:rPr>
          <w:rFonts w:ascii="Times New Roman" w:eastAsia="Times New Roman" w:hAnsi="Times New Roman"/>
          <w:b/>
        </w:rPr>
        <w:t xml:space="preserve"> </w:t>
      </w:r>
    </w:p>
    <w:p w:rsidR="004B73AB" w:rsidRDefault="004B73AB" w:rsidP="004B73AB">
      <w:pPr>
        <w:spacing w:after="0" w:line="240" w:lineRule="auto"/>
        <w:ind w:left="-720" w:right="-720"/>
        <w:rPr>
          <w:rFonts w:ascii="Times New Roman" w:eastAsia="Times New Roman" w:hAnsi="Times New Roman"/>
          <w:b/>
        </w:rPr>
      </w:pPr>
      <w:r>
        <w:rPr>
          <w:rFonts w:ascii="Times New Roman" w:eastAsia="Times New Roman" w:hAnsi="Times New Roman"/>
          <w:b/>
        </w:rPr>
        <w:t>INSTRUCTION</w:t>
      </w:r>
    </w:p>
    <w:p w:rsidR="004B73AB" w:rsidRDefault="004B73AB" w:rsidP="004B73AB">
      <w:pPr>
        <w:spacing w:after="0" w:line="240" w:lineRule="auto"/>
        <w:ind w:left="-720" w:right="-720"/>
        <w:rPr>
          <w:rFonts w:ascii="Times New Roman" w:eastAsia="Times New Roman" w:hAnsi="Times New Roman"/>
          <w:b/>
        </w:rPr>
      </w:pPr>
      <w:r>
        <w:rPr>
          <w:rFonts w:ascii="Times New Roman" w:eastAsia="Times New Roman" w:hAnsi="Times New Roman"/>
          <w:b/>
        </w:rPr>
        <w:t>THE LEARNING ENVIRONMENT</w:t>
      </w:r>
    </w:p>
    <w:p w:rsidR="004B73AB" w:rsidRDefault="004B73AB" w:rsidP="004B73AB">
      <w:pPr>
        <w:spacing w:after="0" w:line="240" w:lineRule="auto"/>
        <w:ind w:left="-720" w:right="-720"/>
        <w:rPr>
          <w:rFonts w:ascii="Times New Roman" w:eastAsia="Times New Roman" w:hAnsi="Times New Roman"/>
          <w:b/>
        </w:rPr>
      </w:pPr>
      <w:r>
        <w:rPr>
          <w:rFonts w:ascii="Times New Roman" w:eastAsia="Times New Roman" w:hAnsi="Times New Roman"/>
          <w:b/>
        </w:rPr>
        <w:t>DESIGNING AND PLANNING INSTRUCTION</w:t>
      </w:r>
    </w:p>
    <w:p w:rsidR="004B73AB" w:rsidRDefault="004B73AB" w:rsidP="004B73AB">
      <w:pPr>
        <w:spacing w:after="0" w:line="240" w:lineRule="auto"/>
        <w:ind w:left="-720" w:right="-720"/>
        <w:rPr>
          <w:rFonts w:ascii="Times New Roman" w:eastAsia="Times New Roman" w:hAnsi="Times New Roman"/>
          <w:b/>
        </w:rPr>
      </w:pPr>
      <w:r>
        <w:rPr>
          <w:rFonts w:ascii="Times New Roman" w:eastAsia="Times New Roman" w:hAnsi="Times New Roman"/>
          <w:b/>
        </w:rPr>
        <w:t>PROFESSIONALISM</w:t>
      </w:r>
    </w:p>
    <w:p w:rsidR="004B73AB" w:rsidRDefault="004B73AB" w:rsidP="004B73AB">
      <w:pPr>
        <w:spacing w:after="0" w:line="240" w:lineRule="auto"/>
        <w:ind w:left="-720" w:right="-720"/>
        <w:rPr>
          <w:rFonts w:ascii="Times New Roman" w:eastAsia="Times New Roman" w:hAnsi="Times New Roman"/>
          <w:b/>
        </w:rPr>
      </w:pPr>
    </w:p>
    <w:tbl>
      <w:tblPr>
        <w:tblStyle w:val="TableGrid"/>
        <w:tblW w:w="0" w:type="auto"/>
        <w:tblLook w:val="04A0" w:firstRow="1" w:lastRow="0" w:firstColumn="1" w:lastColumn="0" w:noHBand="0" w:noVBand="1"/>
      </w:tblPr>
      <w:tblGrid>
        <w:gridCol w:w="4675"/>
        <w:gridCol w:w="4675"/>
      </w:tblGrid>
      <w:tr w:rsidR="004B73AB" w:rsidTr="004B73AB">
        <w:tc>
          <w:tcPr>
            <w:tcW w:w="4675" w:type="dxa"/>
          </w:tcPr>
          <w:p w:rsidR="004B73AB" w:rsidRDefault="00053630" w:rsidP="00053630">
            <w:pPr>
              <w:ind w:right="-720"/>
              <w:rPr>
                <w:rFonts w:ascii="Times New Roman" w:eastAsia="Times New Roman" w:hAnsi="Times New Roman"/>
                <w:b/>
              </w:rPr>
            </w:pPr>
            <w:r>
              <w:rPr>
                <w:rFonts w:ascii="Times New Roman" w:eastAsia="Times New Roman" w:hAnsi="Times New Roman"/>
                <w:b/>
              </w:rPr>
              <w:t>INSTRUCTION</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Standards and Objectives</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Motivating Students</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Presenting Instructional Content</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Lesson Structure and Pacing</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Activities and Materials</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Questioning</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Academic Feedback</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Grouping Students</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Teacher Knowledge of Content</w:t>
            </w:r>
          </w:p>
          <w:p w:rsid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Thinking</w:t>
            </w:r>
          </w:p>
          <w:p w:rsidR="00053630" w:rsidRPr="00053630" w:rsidRDefault="00053630" w:rsidP="00053630">
            <w:pPr>
              <w:pStyle w:val="ListParagraph"/>
              <w:numPr>
                <w:ilvl w:val="0"/>
                <w:numId w:val="2"/>
              </w:numPr>
              <w:ind w:right="-720"/>
              <w:rPr>
                <w:rFonts w:ascii="Times New Roman" w:eastAsia="Times New Roman" w:hAnsi="Times New Roman"/>
                <w:b/>
              </w:rPr>
            </w:pPr>
            <w:r>
              <w:rPr>
                <w:rFonts w:ascii="Times New Roman" w:eastAsia="Times New Roman" w:hAnsi="Times New Roman"/>
                <w:b/>
              </w:rPr>
              <w:t>Problem Solving</w:t>
            </w:r>
          </w:p>
        </w:tc>
        <w:tc>
          <w:tcPr>
            <w:tcW w:w="4675" w:type="dxa"/>
          </w:tcPr>
          <w:p w:rsidR="004B73AB" w:rsidRDefault="00053630" w:rsidP="00053630">
            <w:pPr>
              <w:ind w:right="-720"/>
              <w:rPr>
                <w:rFonts w:ascii="Times New Roman" w:eastAsia="Times New Roman" w:hAnsi="Times New Roman"/>
                <w:b/>
              </w:rPr>
            </w:pPr>
            <w:r>
              <w:rPr>
                <w:rFonts w:ascii="Times New Roman" w:eastAsia="Times New Roman" w:hAnsi="Times New Roman"/>
                <w:b/>
              </w:rPr>
              <w:t>THE LEARNING ENVIRONMENT</w:t>
            </w:r>
          </w:p>
          <w:p w:rsidR="00053630" w:rsidRDefault="00053630" w:rsidP="00053630">
            <w:pPr>
              <w:pStyle w:val="ListParagraph"/>
              <w:numPr>
                <w:ilvl w:val="0"/>
                <w:numId w:val="3"/>
              </w:numPr>
              <w:ind w:right="-720"/>
              <w:rPr>
                <w:rFonts w:ascii="Times New Roman" w:eastAsia="Times New Roman" w:hAnsi="Times New Roman"/>
                <w:b/>
              </w:rPr>
            </w:pPr>
            <w:r>
              <w:rPr>
                <w:rFonts w:ascii="Times New Roman" w:eastAsia="Times New Roman" w:hAnsi="Times New Roman"/>
                <w:b/>
              </w:rPr>
              <w:t>Expectations</w:t>
            </w:r>
          </w:p>
          <w:p w:rsidR="00053630" w:rsidRDefault="00053630" w:rsidP="00053630">
            <w:pPr>
              <w:pStyle w:val="ListParagraph"/>
              <w:numPr>
                <w:ilvl w:val="0"/>
                <w:numId w:val="3"/>
              </w:numPr>
              <w:ind w:right="-720"/>
              <w:rPr>
                <w:rFonts w:ascii="Times New Roman" w:eastAsia="Times New Roman" w:hAnsi="Times New Roman"/>
                <w:b/>
              </w:rPr>
            </w:pPr>
            <w:r>
              <w:rPr>
                <w:rFonts w:ascii="Times New Roman" w:eastAsia="Times New Roman" w:hAnsi="Times New Roman"/>
                <w:b/>
              </w:rPr>
              <w:t>Managing Student Behavior</w:t>
            </w:r>
          </w:p>
          <w:p w:rsidR="00053630" w:rsidRDefault="00053630" w:rsidP="00053630">
            <w:pPr>
              <w:pStyle w:val="ListParagraph"/>
              <w:numPr>
                <w:ilvl w:val="0"/>
                <w:numId w:val="3"/>
              </w:numPr>
              <w:ind w:right="-720"/>
              <w:rPr>
                <w:rFonts w:ascii="Times New Roman" w:eastAsia="Times New Roman" w:hAnsi="Times New Roman"/>
                <w:b/>
              </w:rPr>
            </w:pPr>
            <w:r>
              <w:rPr>
                <w:rFonts w:ascii="Times New Roman" w:eastAsia="Times New Roman" w:hAnsi="Times New Roman"/>
                <w:b/>
              </w:rPr>
              <w:t>Environment</w:t>
            </w:r>
          </w:p>
          <w:p w:rsidR="00053630" w:rsidRDefault="00053630" w:rsidP="00053630">
            <w:pPr>
              <w:pStyle w:val="ListParagraph"/>
              <w:numPr>
                <w:ilvl w:val="0"/>
                <w:numId w:val="3"/>
              </w:numPr>
              <w:ind w:right="-720"/>
              <w:rPr>
                <w:rFonts w:ascii="Times New Roman" w:eastAsia="Times New Roman" w:hAnsi="Times New Roman"/>
                <w:b/>
              </w:rPr>
            </w:pPr>
            <w:r>
              <w:rPr>
                <w:rFonts w:ascii="Times New Roman" w:eastAsia="Times New Roman" w:hAnsi="Times New Roman"/>
                <w:b/>
              </w:rPr>
              <w:t>Respectful Culture</w:t>
            </w:r>
          </w:p>
          <w:p w:rsidR="00053630" w:rsidRPr="00053630" w:rsidRDefault="00053630" w:rsidP="00053630">
            <w:pPr>
              <w:pStyle w:val="ListParagraph"/>
              <w:ind w:right="-720"/>
              <w:rPr>
                <w:rFonts w:ascii="Times New Roman" w:eastAsia="Times New Roman" w:hAnsi="Times New Roman"/>
                <w:b/>
              </w:rPr>
            </w:pPr>
          </w:p>
          <w:p w:rsidR="00053630" w:rsidRDefault="00053630" w:rsidP="00053630">
            <w:pPr>
              <w:ind w:right="-720"/>
              <w:jc w:val="center"/>
              <w:rPr>
                <w:rFonts w:ascii="Times New Roman" w:eastAsia="Times New Roman" w:hAnsi="Times New Roman"/>
                <w:b/>
              </w:rPr>
            </w:pPr>
          </w:p>
        </w:tc>
      </w:tr>
      <w:tr w:rsidR="00053630" w:rsidTr="004B73AB">
        <w:tc>
          <w:tcPr>
            <w:tcW w:w="4675" w:type="dxa"/>
          </w:tcPr>
          <w:p w:rsidR="00053630" w:rsidRDefault="00053630" w:rsidP="00053630">
            <w:pPr>
              <w:ind w:right="-720"/>
              <w:jc w:val="both"/>
              <w:rPr>
                <w:rFonts w:ascii="Times New Roman" w:eastAsia="Times New Roman" w:hAnsi="Times New Roman"/>
                <w:b/>
              </w:rPr>
            </w:pPr>
            <w:r>
              <w:rPr>
                <w:rFonts w:ascii="Times New Roman" w:eastAsia="Times New Roman" w:hAnsi="Times New Roman"/>
                <w:b/>
              </w:rPr>
              <w:t>DESIGNING &amp; PLANNING INSTRUCTION</w:t>
            </w:r>
          </w:p>
          <w:p w:rsidR="00053630" w:rsidRDefault="00053630" w:rsidP="00053630">
            <w:pPr>
              <w:pStyle w:val="ListParagraph"/>
              <w:numPr>
                <w:ilvl w:val="0"/>
                <w:numId w:val="5"/>
              </w:numPr>
              <w:ind w:right="-720"/>
              <w:rPr>
                <w:rFonts w:ascii="Times New Roman" w:eastAsia="Times New Roman" w:hAnsi="Times New Roman"/>
                <w:b/>
              </w:rPr>
            </w:pPr>
            <w:r>
              <w:rPr>
                <w:rFonts w:ascii="Times New Roman" w:eastAsia="Times New Roman" w:hAnsi="Times New Roman"/>
                <w:b/>
              </w:rPr>
              <w:t>Instructional Plans</w:t>
            </w:r>
          </w:p>
          <w:p w:rsidR="00053630" w:rsidRDefault="00053630" w:rsidP="00053630">
            <w:pPr>
              <w:pStyle w:val="ListParagraph"/>
              <w:numPr>
                <w:ilvl w:val="0"/>
                <w:numId w:val="5"/>
              </w:numPr>
              <w:ind w:right="-720"/>
              <w:rPr>
                <w:rFonts w:ascii="Times New Roman" w:eastAsia="Times New Roman" w:hAnsi="Times New Roman"/>
                <w:b/>
              </w:rPr>
            </w:pPr>
            <w:r>
              <w:rPr>
                <w:rFonts w:ascii="Times New Roman" w:eastAsia="Times New Roman" w:hAnsi="Times New Roman"/>
                <w:b/>
              </w:rPr>
              <w:t>Student Work</w:t>
            </w:r>
          </w:p>
          <w:p w:rsidR="00053630" w:rsidRPr="00053630" w:rsidRDefault="00053630" w:rsidP="00053630">
            <w:pPr>
              <w:pStyle w:val="ListParagraph"/>
              <w:numPr>
                <w:ilvl w:val="0"/>
                <w:numId w:val="5"/>
              </w:numPr>
              <w:ind w:right="-720"/>
              <w:rPr>
                <w:rFonts w:ascii="Times New Roman" w:eastAsia="Times New Roman" w:hAnsi="Times New Roman"/>
                <w:b/>
              </w:rPr>
            </w:pPr>
            <w:r>
              <w:rPr>
                <w:rFonts w:ascii="Times New Roman" w:eastAsia="Times New Roman" w:hAnsi="Times New Roman"/>
                <w:b/>
              </w:rPr>
              <w:t>Assessment</w:t>
            </w:r>
          </w:p>
        </w:tc>
        <w:tc>
          <w:tcPr>
            <w:tcW w:w="4675" w:type="dxa"/>
          </w:tcPr>
          <w:p w:rsidR="00053630" w:rsidRDefault="00053630" w:rsidP="00053630">
            <w:pPr>
              <w:ind w:right="-720"/>
              <w:rPr>
                <w:rFonts w:ascii="Times New Roman" w:eastAsia="Times New Roman" w:hAnsi="Times New Roman"/>
                <w:b/>
              </w:rPr>
            </w:pPr>
            <w:r>
              <w:rPr>
                <w:rFonts w:ascii="Times New Roman" w:eastAsia="Times New Roman" w:hAnsi="Times New Roman"/>
                <w:b/>
              </w:rPr>
              <w:t>PROFESSIONALISM</w:t>
            </w:r>
          </w:p>
          <w:p w:rsidR="00053630" w:rsidRDefault="00053630" w:rsidP="00053630">
            <w:pPr>
              <w:pStyle w:val="ListParagraph"/>
              <w:numPr>
                <w:ilvl w:val="0"/>
                <w:numId w:val="6"/>
              </w:numPr>
              <w:ind w:right="-720"/>
              <w:rPr>
                <w:rFonts w:ascii="Times New Roman" w:eastAsia="Times New Roman" w:hAnsi="Times New Roman"/>
                <w:b/>
              </w:rPr>
            </w:pPr>
            <w:r>
              <w:rPr>
                <w:rFonts w:ascii="Times New Roman" w:eastAsia="Times New Roman" w:hAnsi="Times New Roman"/>
                <w:b/>
              </w:rPr>
              <w:t>Growing and Developing Professionally</w:t>
            </w:r>
          </w:p>
          <w:p w:rsidR="00053630" w:rsidRPr="00053630" w:rsidRDefault="00053630" w:rsidP="00053630">
            <w:pPr>
              <w:pStyle w:val="ListParagraph"/>
              <w:numPr>
                <w:ilvl w:val="0"/>
                <w:numId w:val="6"/>
              </w:numPr>
              <w:ind w:right="-720"/>
              <w:rPr>
                <w:rFonts w:ascii="Times New Roman" w:eastAsia="Times New Roman" w:hAnsi="Times New Roman"/>
                <w:b/>
              </w:rPr>
            </w:pPr>
            <w:r>
              <w:rPr>
                <w:rFonts w:ascii="Times New Roman" w:eastAsia="Times New Roman" w:hAnsi="Times New Roman"/>
                <w:b/>
              </w:rPr>
              <w:t>Reflecting on Teaching</w:t>
            </w:r>
          </w:p>
        </w:tc>
      </w:tr>
      <w:tr w:rsidR="004B73AB" w:rsidTr="00053630">
        <w:trPr>
          <w:trHeight w:val="70"/>
        </w:trPr>
        <w:tc>
          <w:tcPr>
            <w:tcW w:w="4675" w:type="dxa"/>
          </w:tcPr>
          <w:p w:rsidR="004B73AB" w:rsidRDefault="004B73AB" w:rsidP="004B73AB">
            <w:pPr>
              <w:ind w:right="-720"/>
              <w:jc w:val="center"/>
              <w:rPr>
                <w:rFonts w:ascii="Times New Roman" w:eastAsia="Times New Roman" w:hAnsi="Times New Roman"/>
                <w:b/>
              </w:rPr>
            </w:pPr>
          </w:p>
        </w:tc>
        <w:tc>
          <w:tcPr>
            <w:tcW w:w="4675" w:type="dxa"/>
            <w:shd w:val="clear" w:color="auto" w:fill="auto"/>
          </w:tcPr>
          <w:p w:rsidR="004B73AB" w:rsidRDefault="004B73AB" w:rsidP="004B73AB">
            <w:pPr>
              <w:ind w:right="-720"/>
              <w:jc w:val="center"/>
              <w:rPr>
                <w:rFonts w:ascii="Times New Roman" w:eastAsia="Times New Roman" w:hAnsi="Times New Roman"/>
                <w:b/>
              </w:rPr>
            </w:pPr>
          </w:p>
        </w:tc>
      </w:tr>
      <w:tr w:rsidR="00053630" w:rsidTr="00053630">
        <w:trPr>
          <w:trHeight w:val="70"/>
        </w:trPr>
        <w:tc>
          <w:tcPr>
            <w:tcW w:w="4675" w:type="dxa"/>
          </w:tcPr>
          <w:p w:rsidR="00053630" w:rsidRDefault="00053630" w:rsidP="00053630">
            <w:pPr>
              <w:ind w:right="-720"/>
              <w:rPr>
                <w:rFonts w:ascii="Times New Roman" w:eastAsia="Times New Roman" w:hAnsi="Times New Roman"/>
                <w:b/>
              </w:rPr>
            </w:pPr>
          </w:p>
        </w:tc>
        <w:tc>
          <w:tcPr>
            <w:tcW w:w="4675" w:type="dxa"/>
            <w:shd w:val="clear" w:color="auto" w:fill="auto"/>
          </w:tcPr>
          <w:p w:rsidR="00053630" w:rsidRDefault="00053630" w:rsidP="004B73AB">
            <w:pPr>
              <w:ind w:right="-720"/>
              <w:jc w:val="center"/>
              <w:rPr>
                <w:rFonts w:ascii="Times New Roman" w:eastAsia="Times New Roman" w:hAnsi="Times New Roman"/>
                <w:b/>
              </w:rPr>
            </w:pPr>
          </w:p>
        </w:tc>
      </w:tr>
    </w:tbl>
    <w:p w:rsidR="004B73AB" w:rsidRPr="004B73AB" w:rsidRDefault="004B73AB" w:rsidP="004B73AB">
      <w:pPr>
        <w:spacing w:after="0" w:line="240" w:lineRule="auto"/>
        <w:ind w:right="-720"/>
        <w:jc w:val="center"/>
        <w:rPr>
          <w:rFonts w:ascii="Times New Roman" w:eastAsia="Times New Roman" w:hAnsi="Times New Roman"/>
          <w:b/>
        </w:rPr>
      </w:pPr>
    </w:p>
    <w:p w:rsidR="004B73AB" w:rsidRDefault="004B73AB" w:rsidP="004B73AB">
      <w:pPr>
        <w:jc w:val="center"/>
        <w:rPr>
          <w:b/>
        </w:rPr>
      </w:pPr>
    </w:p>
    <w:p w:rsidR="00053630" w:rsidRDefault="00844F3A" w:rsidP="00844F3A">
      <w:pPr>
        <w:rPr>
          <w:b/>
        </w:rPr>
      </w:pPr>
      <w:r>
        <w:rPr>
          <w:b/>
        </w:rPr>
        <w:lastRenderedPageBreak/>
        <w:t>Each domain will require the following number of artifacts:</w:t>
      </w:r>
    </w:p>
    <w:p w:rsidR="00844F3A" w:rsidRDefault="00844F3A" w:rsidP="00844F3A">
      <w:pPr>
        <w:rPr>
          <w:b/>
        </w:rPr>
      </w:pPr>
      <w:r>
        <w:rPr>
          <w:b/>
        </w:rPr>
        <w:t>Instruction: 6 artifacts **Reflection of Instructional practices is required.</w:t>
      </w:r>
    </w:p>
    <w:p w:rsidR="00844F3A" w:rsidRDefault="00844F3A" w:rsidP="00844F3A">
      <w:pPr>
        <w:rPr>
          <w:b/>
        </w:rPr>
      </w:pPr>
      <w:r>
        <w:rPr>
          <w:b/>
        </w:rPr>
        <w:t>The Learning Environment: 4 artifacts**Reflection of Creating &amp; Maintaining the Learning Environment is required.</w:t>
      </w:r>
    </w:p>
    <w:p w:rsidR="00613C3B" w:rsidRDefault="00844F3A" w:rsidP="00844F3A">
      <w:pPr>
        <w:rPr>
          <w:b/>
        </w:rPr>
      </w:pPr>
      <w:r>
        <w:rPr>
          <w:b/>
        </w:rPr>
        <w:t>Desig</w:t>
      </w:r>
      <w:r w:rsidR="00FA476B">
        <w:rPr>
          <w:b/>
        </w:rPr>
        <w:t>ning and Planning Instruction: 6</w:t>
      </w:r>
      <w:r>
        <w:rPr>
          <w:b/>
        </w:rPr>
        <w:t xml:space="preserve"> artifacts**Reflection o</w:t>
      </w:r>
      <w:r w:rsidR="00613C3B">
        <w:rPr>
          <w:b/>
        </w:rPr>
        <w:t>f Planning Instruction required</w:t>
      </w:r>
    </w:p>
    <w:p w:rsidR="00613C3B" w:rsidRDefault="00613C3B" w:rsidP="00844F3A">
      <w:pPr>
        <w:rPr>
          <w:b/>
        </w:rPr>
      </w:pPr>
      <w:r>
        <w:rPr>
          <w:b/>
        </w:rPr>
        <w:t>**</w:t>
      </w:r>
      <w:r w:rsidR="00844F3A">
        <w:rPr>
          <w:b/>
        </w:rPr>
        <w:t xml:space="preserve"> Reflection of Planning and Interpreting Assessments is required</w:t>
      </w:r>
      <w:r w:rsidR="008C2B0B">
        <w:rPr>
          <w:b/>
        </w:rPr>
        <w:t>.</w:t>
      </w:r>
      <w:r w:rsidR="00FA476B">
        <w:rPr>
          <w:b/>
        </w:rPr>
        <w:t xml:space="preserve"> </w:t>
      </w:r>
    </w:p>
    <w:p w:rsidR="00613C3B" w:rsidRDefault="00FA476B" w:rsidP="00844F3A">
      <w:pPr>
        <w:rPr>
          <w:b/>
        </w:rPr>
      </w:pPr>
      <w:r>
        <w:rPr>
          <w:b/>
        </w:rPr>
        <w:t>**CBM</w:t>
      </w:r>
      <w:r w:rsidR="00613C3B">
        <w:rPr>
          <w:b/>
        </w:rPr>
        <w:t xml:space="preserve"> /SLO</w:t>
      </w:r>
      <w:r>
        <w:rPr>
          <w:b/>
        </w:rPr>
        <w:t xml:space="preserve"> graphing and reflection of practices and results required.</w:t>
      </w:r>
    </w:p>
    <w:p w:rsidR="00844F3A" w:rsidRDefault="00FA476B" w:rsidP="00844F3A">
      <w:pPr>
        <w:rPr>
          <w:b/>
        </w:rPr>
      </w:pPr>
      <w:r>
        <w:rPr>
          <w:b/>
        </w:rPr>
        <w:t xml:space="preserve"> **Reflection of Unit Planning and results required.</w:t>
      </w:r>
    </w:p>
    <w:p w:rsidR="00844F3A" w:rsidRDefault="00FA476B" w:rsidP="00844F3A">
      <w:pPr>
        <w:rPr>
          <w:b/>
        </w:rPr>
      </w:pPr>
      <w:r>
        <w:rPr>
          <w:b/>
        </w:rPr>
        <w:t>Professionalism: 4</w:t>
      </w:r>
      <w:r w:rsidR="00844F3A">
        <w:rPr>
          <w:b/>
        </w:rPr>
        <w:t xml:space="preserve"> artifacts ** Reflection on Growth in Professionalism required</w:t>
      </w:r>
    </w:p>
    <w:p w:rsidR="00844F3A" w:rsidRDefault="00844F3A" w:rsidP="00844F3A">
      <w:pPr>
        <w:rPr>
          <w:b/>
        </w:rPr>
      </w:pPr>
      <w:r>
        <w:rPr>
          <w:b/>
        </w:rPr>
        <w:t xml:space="preserve">                                                     </w:t>
      </w:r>
      <w:r w:rsidR="00397DDA">
        <w:rPr>
          <w:b/>
        </w:rPr>
        <w:t>**</w:t>
      </w:r>
      <w:r>
        <w:rPr>
          <w:b/>
        </w:rPr>
        <w:t xml:space="preserve"> Philosophy of Education Required</w:t>
      </w:r>
    </w:p>
    <w:p w:rsidR="00844F3A" w:rsidRDefault="00844F3A" w:rsidP="00844F3A">
      <w:pPr>
        <w:rPr>
          <w:b/>
        </w:rPr>
      </w:pPr>
      <w:r>
        <w:rPr>
          <w:b/>
        </w:rPr>
        <w:tab/>
      </w:r>
      <w:r>
        <w:rPr>
          <w:b/>
        </w:rPr>
        <w:tab/>
      </w:r>
      <w:r>
        <w:rPr>
          <w:b/>
        </w:rPr>
        <w:tab/>
        <w:t xml:space="preserve">          </w:t>
      </w:r>
      <w:r w:rsidR="00397DDA">
        <w:rPr>
          <w:b/>
        </w:rPr>
        <w:t>**</w:t>
      </w:r>
      <w:r>
        <w:rPr>
          <w:b/>
        </w:rPr>
        <w:t xml:space="preserve"> Current Resume Required</w:t>
      </w:r>
      <w:r>
        <w:rPr>
          <w:b/>
        </w:rPr>
        <w:tab/>
      </w:r>
    </w:p>
    <w:p w:rsidR="009A7A0B" w:rsidRDefault="009A7A0B" w:rsidP="00844F3A">
      <w:pPr>
        <w:rPr>
          <w:b/>
        </w:rPr>
      </w:pPr>
      <w:r w:rsidRPr="009A7A0B">
        <w:rPr>
          <w:b/>
          <w:highlight w:val="yellow"/>
        </w:rPr>
        <w:t>All reflections must be at least one page in length.</w:t>
      </w:r>
    </w:p>
    <w:p w:rsidR="00844F3A" w:rsidRPr="004B73AB" w:rsidRDefault="00844F3A" w:rsidP="00844F3A">
      <w:pPr>
        <w:rPr>
          <w:b/>
        </w:rPr>
      </w:pPr>
      <w:r>
        <w:rPr>
          <w:b/>
        </w:rPr>
        <w:tab/>
      </w:r>
      <w:r>
        <w:rPr>
          <w:b/>
        </w:rPr>
        <w:tab/>
      </w:r>
      <w:r>
        <w:rPr>
          <w:b/>
        </w:rPr>
        <w:tab/>
      </w:r>
      <w:r>
        <w:rPr>
          <w:b/>
        </w:rPr>
        <w:tab/>
      </w:r>
    </w:p>
    <w:sectPr w:rsidR="00844F3A" w:rsidRPr="004B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10F1A"/>
    <w:multiLevelType w:val="hybridMultilevel"/>
    <w:tmpl w:val="353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23957"/>
    <w:multiLevelType w:val="hybridMultilevel"/>
    <w:tmpl w:val="D6F8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5471"/>
    <w:multiLevelType w:val="hybridMultilevel"/>
    <w:tmpl w:val="520E3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031F5D"/>
    <w:multiLevelType w:val="hybridMultilevel"/>
    <w:tmpl w:val="D9F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76E56"/>
    <w:multiLevelType w:val="hybridMultilevel"/>
    <w:tmpl w:val="70607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B914A7"/>
    <w:multiLevelType w:val="hybridMultilevel"/>
    <w:tmpl w:val="EDB0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AB"/>
    <w:rsid w:val="00053630"/>
    <w:rsid w:val="00397DDA"/>
    <w:rsid w:val="003D614E"/>
    <w:rsid w:val="003D79E5"/>
    <w:rsid w:val="004B73AB"/>
    <w:rsid w:val="00613C3B"/>
    <w:rsid w:val="00693564"/>
    <w:rsid w:val="00844F3A"/>
    <w:rsid w:val="008C2B0B"/>
    <w:rsid w:val="009A7A0B"/>
    <w:rsid w:val="00CB072B"/>
    <w:rsid w:val="00F75617"/>
    <w:rsid w:val="00FA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F1534-A15C-45E7-9DD3-7859988C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Romansky</dc:creator>
  <cp:keywords/>
  <dc:description/>
  <cp:lastModifiedBy>Windows User</cp:lastModifiedBy>
  <cp:revision>3</cp:revision>
  <dcterms:created xsi:type="dcterms:W3CDTF">2015-12-11T02:53:00Z</dcterms:created>
  <dcterms:modified xsi:type="dcterms:W3CDTF">2016-06-07T15:21:00Z</dcterms:modified>
</cp:coreProperties>
</file>