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26262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Mid-Term</w:t>
      </w:r>
      <w:r w:rsidR="00337A9E" w:rsidRPr="006C6669">
        <w:rPr>
          <w:b/>
          <w:i/>
          <w:sz w:val="28"/>
          <w:szCs w:val="28"/>
        </w:rPr>
        <w:t xml:space="preserve">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 w:rsidP="00326262">
            <w:r w:rsidRPr="006D45B3">
              <w:t>Date of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264EBC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  <w:r w:rsidR="00264EBC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264EBC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264EB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264EBC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Pr="00264EBC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264EBC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  <w:r w:rsidR="00264EB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264EBC">
              <w:rPr>
                <w:rFonts w:ascii="Arial" w:hAnsi="Arial" w:cs="Arial"/>
                <w:sz w:val="18"/>
                <w:szCs w:val="18"/>
              </w:rPr>
              <w:t>InTASC</w:t>
            </w:r>
            <w:proofErr w:type="spellEnd"/>
            <w:r w:rsidR="00264EBC">
              <w:rPr>
                <w:rFonts w:ascii="Arial" w:hAnsi="Arial" w:cs="Arial"/>
                <w:sz w:val="18"/>
                <w:szCs w:val="18"/>
              </w:rPr>
              <w:t xml:space="preserve"> 4, 5</w:t>
            </w:r>
          </w:p>
          <w:p w:rsidR="00A45512" w:rsidRPr="0060558F" w:rsidRDefault="00A45512" w:rsidP="00264EBC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5, 7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DF7997">
            <w:pPr>
              <w:pStyle w:val="TableParagraph"/>
              <w:ind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5, 8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97" w:rsidRPr="0060558F" w:rsidRDefault="00DF7997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5, 8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6, 8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Pr="00DF7997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3</w:t>
                                  </w:r>
                                </w:p>
                                <w:p w:rsidR="00867049" w:rsidRPr="00DF7997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5, 8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6, 8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Pr="00DF7997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3</w:t>
                            </w:r>
                          </w:p>
                          <w:p w:rsidR="00867049" w:rsidRPr="00DF7997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4, 8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DF7997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880DEC" w:rsidRDefault="00880DEC" w:rsidP="00DF7997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1, 2</w:t>
            </w:r>
          </w:p>
          <w:p w:rsidR="00DF7997" w:rsidRDefault="00DF7997" w:rsidP="00DF7997">
            <w:pPr>
              <w:pStyle w:val="TableParagraph"/>
              <w:ind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 w:rsidP="00DF7997">
            <w:pPr>
              <w:pStyle w:val="TableParagraph"/>
              <w:ind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5, 8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5, 8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 w:rsidP="00DF7997">
            <w:pPr>
              <w:pStyle w:val="TableParagraph"/>
              <w:spacing w:line="219" w:lineRule="exac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6, 7, 8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 w:rsidP="00DF7997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6, 7, 8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6, 7, 8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 w:rsidP="00DF799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F7997">
              <w:rPr>
                <w:rFonts w:ascii="Arial" w:hAnsi="Arial" w:cs="Arial"/>
                <w:sz w:val="20"/>
                <w:szCs w:val="20"/>
              </w:rPr>
              <w:t>8C;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1, 2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F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  <w:r w:rsidR="00DF799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F7997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DF7997">
              <w:rPr>
                <w:rFonts w:ascii="Arial" w:hAnsi="Arial" w:cs="Arial"/>
                <w:sz w:val="20"/>
                <w:szCs w:val="20"/>
              </w:rPr>
              <w:t xml:space="preserve"> 1, 2, 3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F7997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7997" w:rsidRDefault="00DF7997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ADEPT 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8A,B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6C38" w:rsidRPr="0060558F" w:rsidRDefault="00DF7997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1, 2, 3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F7997" w:rsidP="00DF7997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:rsidR="00DF7997" w:rsidRPr="0060558F" w:rsidRDefault="00DF7997" w:rsidP="00DF7997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  <w:r w:rsidR="00217FE0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217FE0">
              <w:rPr>
                <w:rFonts w:ascii="Arial" w:hAnsi="Arial" w:cs="Arial"/>
                <w:sz w:val="20"/>
                <w:szCs w:val="20"/>
              </w:rPr>
              <w:t>InTASC</w:t>
            </w:r>
            <w:proofErr w:type="spellEnd"/>
            <w:r w:rsidR="00217FE0">
              <w:rPr>
                <w:rFonts w:ascii="Arial" w:hAnsi="Arial" w:cs="Arial"/>
                <w:sz w:val="20"/>
                <w:szCs w:val="20"/>
              </w:rPr>
              <w:t xml:space="preserve"> 1, 2, 3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  <w:bookmarkStart w:id="0" w:name="_GoBack"/>
            <w:bookmarkEnd w:id="0"/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F9" w:rsidRDefault="007E08F9">
      <w:r>
        <w:separator/>
      </w:r>
    </w:p>
  </w:endnote>
  <w:endnote w:type="continuationSeparator" w:id="0">
    <w:p w:rsidR="007E08F9" w:rsidRDefault="007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E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F9" w:rsidRDefault="007E08F9">
      <w:r>
        <w:separator/>
      </w:r>
    </w:p>
  </w:footnote>
  <w:footnote w:type="continuationSeparator" w:id="0">
    <w:p w:rsidR="007E08F9" w:rsidRDefault="007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4792"/>
    <w:rsid w:val="000F63E9"/>
    <w:rsid w:val="0017729C"/>
    <w:rsid w:val="001D7BA3"/>
    <w:rsid w:val="001F2B1D"/>
    <w:rsid w:val="00200422"/>
    <w:rsid w:val="00217FE0"/>
    <w:rsid w:val="00263CC0"/>
    <w:rsid w:val="00264EBC"/>
    <w:rsid w:val="00270AF4"/>
    <w:rsid w:val="002805CE"/>
    <w:rsid w:val="00294E6F"/>
    <w:rsid w:val="00326262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D5DEC"/>
    <w:rsid w:val="007E08F9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74D37"/>
    <w:rsid w:val="00CB31A1"/>
    <w:rsid w:val="00CE2106"/>
    <w:rsid w:val="00D05F41"/>
    <w:rsid w:val="00D06C38"/>
    <w:rsid w:val="00D258B8"/>
    <w:rsid w:val="00D95B63"/>
    <w:rsid w:val="00DE53ED"/>
    <w:rsid w:val="00DF7997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1A47C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Leigh Martin</cp:lastModifiedBy>
  <cp:revision>4</cp:revision>
  <cp:lastPrinted>2016-01-27T20:52:00Z</cp:lastPrinted>
  <dcterms:created xsi:type="dcterms:W3CDTF">2018-05-24T16:30:00Z</dcterms:created>
  <dcterms:modified xsi:type="dcterms:W3CDTF">2018-05-24T16:40:00Z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