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9E" w:rsidRDefault="00337A9E">
      <w:bookmarkStart w:id="0" w:name="_GoBack"/>
      <w:bookmarkEnd w:id="0"/>
    </w:p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180FCF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FCF" w:rsidRDefault="00180FCF" w:rsidP="00180FCF">
      <w:pPr>
        <w:jc w:val="center"/>
      </w:pPr>
    </w:p>
    <w:p w:rsidR="00337A9E" w:rsidRDefault="00337A9E"/>
    <w:p w:rsidR="00337A9E" w:rsidRPr="00180FCF" w:rsidRDefault="00C5743B" w:rsidP="00337A9E">
      <w:pPr>
        <w:jc w:val="center"/>
        <w:rPr>
          <w:b/>
          <w:i/>
          <w:sz w:val="36"/>
          <w:szCs w:val="28"/>
        </w:rPr>
      </w:pPr>
      <w:r w:rsidRPr="00180FCF">
        <w:rPr>
          <w:b/>
          <w:i/>
          <w:sz w:val="36"/>
          <w:szCs w:val="28"/>
        </w:rPr>
        <w:t>Summative Lesson Observation</w:t>
      </w:r>
    </w:p>
    <w:p w:rsidR="00180FCF" w:rsidRDefault="00180FCF" w:rsidP="00180FCF">
      <w:pPr>
        <w:rPr>
          <w:sz w:val="24"/>
          <w:szCs w:val="28"/>
        </w:rPr>
      </w:pPr>
    </w:p>
    <w:p w:rsidR="00180FCF" w:rsidRPr="00180FCF" w:rsidRDefault="00180FCF" w:rsidP="00180FCF">
      <w:pPr>
        <w:ind w:left="1440" w:right="1590"/>
        <w:rPr>
          <w:sz w:val="24"/>
          <w:szCs w:val="28"/>
        </w:rPr>
      </w:pPr>
      <w:r>
        <w:rPr>
          <w:sz w:val="24"/>
          <w:szCs w:val="28"/>
        </w:rPr>
        <w:t xml:space="preserve">The purpose of this summative lesson observation is to provide a snapshot of the candidate’s teaching performance at the end of the </w:t>
      </w:r>
      <w:r w:rsidR="00600744">
        <w:rPr>
          <w:sz w:val="24"/>
          <w:szCs w:val="28"/>
        </w:rPr>
        <w:t xml:space="preserve">student teaching </w:t>
      </w:r>
      <w:r>
        <w:rPr>
          <w:sz w:val="24"/>
          <w:szCs w:val="28"/>
        </w:rPr>
        <w:t xml:space="preserve">semester. In contrast to the formative lesson observation which is designed to show the candidate’s teaching performance growth over time, the summative lesson observation </w:t>
      </w:r>
      <w:r w:rsidR="00600744">
        <w:rPr>
          <w:sz w:val="24"/>
          <w:szCs w:val="28"/>
        </w:rPr>
        <w:t>illustrates the candidate’s</w:t>
      </w:r>
      <w:r>
        <w:rPr>
          <w:sz w:val="24"/>
          <w:szCs w:val="28"/>
        </w:rPr>
        <w:t xml:space="preserve"> ability to meet the indicators outlined below</w:t>
      </w:r>
      <w:r w:rsidR="00600744">
        <w:rPr>
          <w:sz w:val="24"/>
          <w:szCs w:val="28"/>
        </w:rPr>
        <w:t xml:space="preserve"> at the conclusion of their student teaching semester</w:t>
      </w:r>
      <w:r>
        <w:rPr>
          <w:sz w:val="24"/>
          <w:szCs w:val="28"/>
        </w:rPr>
        <w:t xml:space="preserve">. 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 of </w:t>
            </w:r>
            <w:r>
              <w:t>Final</w:t>
            </w:r>
            <w:r w:rsidRPr="006D45B3">
              <w:t xml:space="preserve">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180FCF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C92F01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  <w:r w:rsidR="00C92F0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A45512" w:rsidRPr="0060558F" w:rsidRDefault="00C92F01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4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C92F01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D0E07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  <w:r w:rsidR="00C92F01">
              <w:rPr>
                <w:rFonts w:ascii="Arial" w:hAnsi="Arial" w:cs="Arial"/>
                <w:sz w:val="18"/>
                <w:szCs w:val="18"/>
              </w:rPr>
              <w:t>; InTASC 4, 5</w:t>
            </w:r>
          </w:p>
          <w:p w:rsidR="00A45512" w:rsidRPr="0060558F" w:rsidRDefault="00A45512" w:rsidP="00C92F01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  <w:r w:rsidR="00C92F01">
              <w:rPr>
                <w:rFonts w:ascii="Arial" w:hAnsi="Arial" w:cs="Arial"/>
                <w:sz w:val="20"/>
                <w:szCs w:val="20"/>
              </w:rPr>
              <w:t>; InTASC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  <w:r w:rsidR="00C92F0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92F01" w:rsidRPr="0060558F" w:rsidRDefault="00C92F01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5, 7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C92F01">
            <w:pPr>
              <w:pStyle w:val="TableParagraph"/>
              <w:ind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  <w:r w:rsidR="00C92F01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49" w:rsidRDefault="0086704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867049" w:rsidRDefault="0086704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7049" w:rsidRDefault="0086704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86704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  <w:r w:rsidR="0054722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547228" w:rsidRPr="0060558F" w:rsidRDefault="00547228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InTASC 5, 8</w:t>
                                  </w: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867049" w:rsidRPr="00F83217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867049" w:rsidRPr="00A3561B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  <w:r w:rsidR="0054722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6, 8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880DEC" w:rsidRDefault="0086704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  <w:r w:rsidR="00547228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</w:p>
                                <w:p w:rsidR="00867049" w:rsidRDefault="00547228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InTASC 3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AD7C9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867049" w:rsidRDefault="00867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86704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  <w:r w:rsidR="0054722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47228" w:rsidRPr="0060558F" w:rsidRDefault="00547228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InTASC 5, 8</w:t>
                            </w: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867049" w:rsidRPr="00F83217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867049" w:rsidRPr="00A3561B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  <w:r w:rsidR="0054722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6, 8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880DEC" w:rsidRDefault="0086704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  <w:r w:rsidR="0054722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:rsidR="00867049" w:rsidRDefault="00547228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InTASC 3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AD7C9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867049" w:rsidRDefault="0086704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4, 8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547228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547228" w:rsidRDefault="00880DEC" w:rsidP="005472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1, 2</w:t>
            </w:r>
          </w:p>
          <w:p w:rsidR="00880DEC" w:rsidRPr="00AD0E07" w:rsidRDefault="00AD0E07" w:rsidP="00547228">
            <w:pPr>
              <w:pStyle w:val="TableParagraph"/>
              <w:ind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 w:rsidP="00547228">
            <w:pPr>
              <w:pStyle w:val="TableParagraph"/>
              <w:spacing w:line="219" w:lineRule="exact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180FCF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 w:rsidP="00547228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 w:rsidP="00547228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180FCF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of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7228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  <w:r w:rsidR="0054722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06C38" w:rsidRPr="0060558F" w:rsidRDefault="0054722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1, 2, 3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547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  <w:r w:rsidR="00547228">
              <w:rPr>
                <w:rFonts w:ascii="Arial" w:hAnsi="Arial" w:cs="Arial"/>
                <w:sz w:val="20"/>
                <w:szCs w:val="20"/>
              </w:rPr>
              <w:t>; InTASC 1, 2, 3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547228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47228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  <w:r w:rsidR="0054722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06C38" w:rsidRPr="0060558F" w:rsidRDefault="0054722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1, 2, 3</w:t>
            </w:r>
          </w:p>
          <w:p w:rsidR="00D06C38" w:rsidRDefault="00D06C38" w:rsidP="0054722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47228" w:rsidRDefault="00547228" w:rsidP="0054722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47228" w:rsidRPr="0060558F" w:rsidRDefault="00547228" w:rsidP="0054722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does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  <w:r w:rsidR="0054722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7228" w:rsidRPr="0060558F" w:rsidRDefault="0054722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1, 2, 3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180FCF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180FCF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>Candidate uses instructional technology in the classroom for student learning (e.g., smartboards, laptops, ipads).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0394E" w:rsidRDefault="0070394E" w:rsidP="00180FCF">
      <w:pPr>
        <w:pStyle w:val="BodyText"/>
        <w:spacing w:before="81"/>
        <w:ind w:left="0" w:firstLine="0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E4" w:rsidRDefault="00A909E4">
      <w:r>
        <w:separator/>
      </w:r>
    </w:p>
  </w:endnote>
  <w:endnote w:type="continuationSeparator" w:id="0">
    <w:p w:rsidR="00A909E4" w:rsidRDefault="00A9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49" w:rsidRDefault="0086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6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7049" w:rsidRDefault="008670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E4" w:rsidRDefault="00A909E4">
      <w:r>
        <w:separator/>
      </w:r>
    </w:p>
  </w:footnote>
  <w:footnote w:type="continuationSeparator" w:id="0">
    <w:p w:rsidR="00A909E4" w:rsidRDefault="00A9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867049" w:rsidRDefault="0086704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49" w:rsidRDefault="00867049" w:rsidP="00B4156C">
    <w:pPr>
      <w:pStyle w:val="Header"/>
      <w:jc w:val="center"/>
    </w:pPr>
  </w:p>
  <w:p w:rsidR="00867049" w:rsidRDefault="0086704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63E9"/>
    <w:rsid w:val="0017729C"/>
    <w:rsid w:val="00180FCF"/>
    <w:rsid w:val="001D7BA3"/>
    <w:rsid w:val="001F2B1D"/>
    <w:rsid w:val="00200422"/>
    <w:rsid w:val="00263CC0"/>
    <w:rsid w:val="00270AF4"/>
    <w:rsid w:val="002805CE"/>
    <w:rsid w:val="00294E6F"/>
    <w:rsid w:val="0033189B"/>
    <w:rsid w:val="00337A9E"/>
    <w:rsid w:val="0038235B"/>
    <w:rsid w:val="003B06C3"/>
    <w:rsid w:val="003D7250"/>
    <w:rsid w:val="003E79E0"/>
    <w:rsid w:val="003F2EB3"/>
    <w:rsid w:val="0040324E"/>
    <w:rsid w:val="00485110"/>
    <w:rsid w:val="005148FE"/>
    <w:rsid w:val="00547228"/>
    <w:rsid w:val="0058636F"/>
    <w:rsid w:val="005A3379"/>
    <w:rsid w:val="005B0AB0"/>
    <w:rsid w:val="005E1259"/>
    <w:rsid w:val="00600744"/>
    <w:rsid w:val="00601733"/>
    <w:rsid w:val="0060558F"/>
    <w:rsid w:val="00622411"/>
    <w:rsid w:val="00632B65"/>
    <w:rsid w:val="00636492"/>
    <w:rsid w:val="0066728D"/>
    <w:rsid w:val="00673DFB"/>
    <w:rsid w:val="006C6669"/>
    <w:rsid w:val="0070394E"/>
    <w:rsid w:val="00715432"/>
    <w:rsid w:val="007256AD"/>
    <w:rsid w:val="007716F7"/>
    <w:rsid w:val="007F6F4E"/>
    <w:rsid w:val="00810935"/>
    <w:rsid w:val="008366FA"/>
    <w:rsid w:val="00837531"/>
    <w:rsid w:val="00867049"/>
    <w:rsid w:val="00880DEC"/>
    <w:rsid w:val="008C1BE7"/>
    <w:rsid w:val="00942E09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909E4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7359B"/>
    <w:rsid w:val="00B74D2F"/>
    <w:rsid w:val="00B83F03"/>
    <w:rsid w:val="00BB66E7"/>
    <w:rsid w:val="00BC3973"/>
    <w:rsid w:val="00C56B5F"/>
    <w:rsid w:val="00C5743B"/>
    <w:rsid w:val="00C74D37"/>
    <w:rsid w:val="00C92F01"/>
    <w:rsid w:val="00CB31A1"/>
    <w:rsid w:val="00D05F41"/>
    <w:rsid w:val="00D06C38"/>
    <w:rsid w:val="00D175C6"/>
    <w:rsid w:val="00D258B8"/>
    <w:rsid w:val="00D95B63"/>
    <w:rsid w:val="00DE53ED"/>
    <w:rsid w:val="00E45B9F"/>
    <w:rsid w:val="00E61BFF"/>
    <w:rsid w:val="00E64C47"/>
    <w:rsid w:val="00E73F8F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Leigh Martin</cp:lastModifiedBy>
  <cp:revision>2</cp:revision>
  <cp:lastPrinted>2016-01-27T20:52:00Z</cp:lastPrinted>
  <dcterms:created xsi:type="dcterms:W3CDTF">2018-08-07T16:36:00Z</dcterms:created>
  <dcterms:modified xsi:type="dcterms:W3CDTF">2018-08-07T16:36:00Z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