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595E8" w14:textId="7C0342CD" w:rsidR="00FE290F" w:rsidRPr="000F4843" w:rsidRDefault="0021051C">
      <w:pPr>
        <w:rPr>
          <w:rFonts w:ascii="Arial" w:hAnsi="Arial" w:cs="Arial"/>
          <w:b/>
          <w:bCs/>
          <w:sz w:val="20"/>
          <w:szCs w:val="20"/>
        </w:rPr>
      </w:pPr>
      <w:r w:rsidRPr="000F4843">
        <w:rPr>
          <w:rFonts w:ascii="Arial" w:hAnsi="Arial" w:cs="Arial"/>
          <w:b/>
          <w:bCs/>
          <w:sz w:val="20"/>
          <w:szCs w:val="20"/>
        </w:rPr>
        <w:t>NSF Graduate Student Mentoring Plan</w:t>
      </w:r>
    </w:p>
    <w:p w14:paraId="780C88B3" w14:textId="313FD396" w:rsidR="0021051C" w:rsidRPr="000F4843" w:rsidRDefault="0021051C">
      <w:pPr>
        <w:rPr>
          <w:rFonts w:ascii="Arial" w:hAnsi="Arial" w:cs="Arial"/>
          <w:sz w:val="20"/>
          <w:szCs w:val="20"/>
        </w:rPr>
      </w:pPr>
      <w:r w:rsidRPr="000F4843">
        <w:rPr>
          <w:rFonts w:ascii="Arial" w:hAnsi="Arial" w:cs="Arial"/>
          <w:sz w:val="20"/>
          <w:szCs w:val="20"/>
        </w:rPr>
        <w:t xml:space="preserve">Updated </w:t>
      </w:r>
      <w:proofErr w:type="gramStart"/>
      <w:r w:rsidRPr="000F4843">
        <w:rPr>
          <w:rFonts w:ascii="Arial" w:hAnsi="Arial" w:cs="Arial"/>
          <w:sz w:val="20"/>
          <w:szCs w:val="20"/>
        </w:rPr>
        <w:t>05/0</w:t>
      </w:r>
      <w:r w:rsidR="000F4843">
        <w:rPr>
          <w:rFonts w:ascii="Arial" w:hAnsi="Arial" w:cs="Arial"/>
          <w:sz w:val="20"/>
          <w:szCs w:val="20"/>
        </w:rPr>
        <w:t>5</w:t>
      </w:r>
      <w:r w:rsidRPr="000F4843">
        <w:rPr>
          <w:rFonts w:ascii="Arial" w:hAnsi="Arial" w:cs="Arial"/>
          <w:sz w:val="20"/>
          <w:szCs w:val="20"/>
        </w:rPr>
        <w:t>/24</w:t>
      </w:r>
      <w:proofErr w:type="gramEnd"/>
    </w:p>
    <w:p w14:paraId="46D05003" w14:textId="77777777" w:rsidR="0021051C" w:rsidRPr="000F4843" w:rsidRDefault="0021051C">
      <w:pPr>
        <w:rPr>
          <w:rFonts w:ascii="Arial" w:hAnsi="Arial" w:cs="Arial"/>
          <w:sz w:val="20"/>
          <w:szCs w:val="20"/>
        </w:rPr>
      </w:pPr>
    </w:p>
    <w:p w14:paraId="7BA716BE" w14:textId="645828D4" w:rsidR="0021051C" w:rsidRPr="000F4843" w:rsidRDefault="0021051C">
      <w:pPr>
        <w:rPr>
          <w:rFonts w:ascii="Arial" w:hAnsi="Arial" w:cs="Arial"/>
          <w:sz w:val="20"/>
          <w:szCs w:val="20"/>
        </w:rPr>
      </w:pPr>
      <w:r w:rsidRPr="005C605D">
        <w:rPr>
          <w:rFonts w:ascii="Arial" w:hAnsi="Arial" w:cs="Arial"/>
          <w:sz w:val="20"/>
          <w:szCs w:val="20"/>
          <w:highlight w:val="yellow"/>
        </w:rPr>
        <w:t>Note</w:t>
      </w:r>
      <w:r w:rsidR="005C605D" w:rsidRPr="005C605D">
        <w:rPr>
          <w:rFonts w:ascii="Arial" w:hAnsi="Arial" w:cs="Arial"/>
          <w:sz w:val="20"/>
          <w:szCs w:val="20"/>
          <w:highlight w:val="yellow"/>
        </w:rPr>
        <w:t xml:space="preserve"> to investigators</w:t>
      </w:r>
      <w:r w:rsidRPr="005C605D">
        <w:rPr>
          <w:rFonts w:ascii="Arial" w:hAnsi="Arial" w:cs="Arial"/>
          <w:sz w:val="20"/>
          <w:szCs w:val="20"/>
          <w:highlight w:val="yellow"/>
        </w:rPr>
        <w:t xml:space="preserve">: </w:t>
      </w:r>
      <w:r w:rsidR="00B841AB" w:rsidRPr="005C605D">
        <w:rPr>
          <w:rFonts w:ascii="Arial" w:hAnsi="Arial" w:cs="Arial"/>
          <w:sz w:val="20"/>
          <w:szCs w:val="20"/>
          <w:highlight w:val="yellow"/>
        </w:rPr>
        <w:t xml:space="preserve">The Graduate Center for Transformative Mentorship (GCTM) at Clemson provides this mentoring plan as an </w:t>
      </w:r>
      <w:r w:rsidRPr="005C605D">
        <w:rPr>
          <w:rFonts w:ascii="Arial" w:hAnsi="Arial" w:cs="Arial"/>
          <w:sz w:val="20"/>
          <w:szCs w:val="20"/>
          <w:highlight w:val="yellow"/>
        </w:rPr>
        <w:t xml:space="preserve">example. PIs </w:t>
      </w:r>
      <w:r w:rsidR="00167941">
        <w:rPr>
          <w:rFonts w:ascii="Arial" w:hAnsi="Arial" w:cs="Arial"/>
          <w:sz w:val="20"/>
          <w:szCs w:val="20"/>
          <w:highlight w:val="yellow"/>
        </w:rPr>
        <w:t>are encouraged</w:t>
      </w:r>
      <w:r w:rsidRPr="005C605D">
        <w:rPr>
          <w:rFonts w:ascii="Arial" w:hAnsi="Arial" w:cs="Arial"/>
          <w:sz w:val="20"/>
          <w:szCs w:val="20"/>
          <w:highlight w:val="yellow"/>
        </w:rPr>
        <w:t xml:space="preserve"> to tailor each plan based on the project, the goals of the academic program, and the needs of the graduate student. The mentoring plan </w:t>
      </w:r>
      <w:r w:rsidRPr="005C605D">
        <w:rPr>
          <w:rFonts w:ascii="Arial" w:hAnsi="Arial" w:cs="Arial"/>
          <w:sz w:val="20"/>
          <w:szCs w:val="20"/>
          <w:highlight w:val="yellow"/>
          <w:u w:val="single"/>
        </w:rPr>
        <w:t>must not exceed 1 page</w:t>
      </w:r>
      <w:r w:rsidR="00B841AB" w:rsidRPr="005C605D">
        <w:rPr>
          <w:rFonts w:ascii="Arial" w:hAnsi="Arial" w:cs="Arial"/>
          <w:sz w:val="20"/>
          <w:szCs w:val="20"/>
          <w:highlight w:val="yellow"/>
        </w:rPr>
        <w:t xml:space="preserve">. NSF is taking </w:t>
      </w:r>
      <w:r w:rsidR="00240271" w:rsidRPr="005C605D">
        <w:rPr>
          <w:rFonts w:ascii="Arial" w:hAnsi="Arial" w:cs="Arial"/>
          <w:sz w:val="20"/>
          <w:szCs w:val="20"/>
          <w:highlight w:val="yellow"/>
        </w:rPr>
        <w:t xml:space="preserve">the </w:t>
      </w:r>
      <w:r w:rsidR="00B841AB" w:rsidRPr="005C605D">
        <w:rPr>
          <w:rFonts w:ascii="Arial" w:hAnsi="Arial" w:cs="Arial"/>
          <w:sz w:val="20"/>
          <w:szCs w:val="20"/>
          <w:highlight w:val="yellow"/>
        </w:rPr>
        <w:t xml:space="preserve">mentoring of graduate students very seriously and will pay particular attention to the quality of this plan. </w:t>
      </w:r>
      <w:r w:rsidR="00167941">
        <w:rPr>
          <w:rFonts w:ascii="Arial" w:hAnsi="Arial" w:cs="Arial"/>
          <w:sz w:val="20"/>
          <w:szCs w:val="20"/>
          <w:highlight w:val="yellow"/>
        </w:rPr>
        <w:t xml:space="preserve">In addition, if this section is missing, the proposal will not be reviewed. </w:t>
      </w:r>
      <w:proofErr w:type="spellStart"/>
      <w:r w:rsidR="00B841AB" w:rsidRPr="005C605D">
        <w:rPr>
          <w:rFonts w:ascii="Arial" w:hAnsi="Arial" w:cs="Arial"/>
          <w:sz w:val="20"/>
          <w:szCs w:val="20"/>
          <w:highlight w:val="yellow"/>
        </w:rPr>
        <w:t>For</w:t>
      </w:r>
      <w:proofErr w:type="spellEnd"/>
      <w:r w:rsidR="00B841AB" w:rsidRPr="005C605D">
        <w:rPr>
          <w:rFonts w:ascii="Arial" w:hAnsi="Arial" w:cs="Arial"/>
          <w:sz w:val="20"/>
          <w:szCs w:val="20"/>
          <w:highlight w:val="yellow"/>
        </w:rPr>
        <w:t xml:space="preserve"> more information, see </w:t>
      </w:r>
      <w:hyperlink r:id="rId7" w:history="1">
        <w:r w:rsidR="00B841AB" w:rsidRPr="005C605D">
          <w:rPr>
            <w:rStyle w:val="Hyperlink"/>
            <w:rFonts w:ascii="Arial" w:hAnsi="Arial" w:cs="Arial"/>
            <w:sz w:val="20"/>
            <w:szCs w:val="20"/>
            <w:highlight w:val="yellow"/>
          </w:rPr>
          <w:t>PAPPG</w:t>
        </w:r>
      </w:hyperlink>
      <w:r w:rsidR="00B841AB" w:rsidRPr="005C605D">
        <w:rPr>
          <w:rFonts w:ascii="Arial" w:hAnsi="Arial" w:cs="Arial"/>
          <w:sz w:val="20"/>
          <w:szCs w:val="20"/>
          <w:highlight w:val="yellow"/>
        </w:rPr>
        <w:t xml:space="preserve">. Additional information on the GCTM is available </w:t>
      </w:r>
      <w:hyperlink r:id="rId8" w:history="1">
        <w:r w:rsidR="00B841AB" w:rsidRPr="005C605D">
          <w:rPr>
            <w:rStyle w:val="Hyperlink"/>
            <w:rFonts w:ascii="Arial" w:hAnsi="Arial" w:cs="Arial"/>
            <w:sz w:val="20"/>
            <w:szCs w:val="20"/>
            <w:highlight w:val="yellow"/>
          </w:rPr>
          <w:t>here</w:t>
        </w:r>
      </w:hyperlink>
      <w:r w:rsidR="00B841AB" w:rsidRPr="005C605D">
        <w:rPr>
          <w:rFonts w:ascii="Arial" w:hAnsi="Arial" w:cs="Arial"/>
          <w:sz w:val="20"/>
          <w:szCs w:val="20"/>
          <w:highlight w:val="yellow"/>
        </w:rPr>
        <w:t>.</w:t>
      </w:r>
    </w:p>
    <w:p w14:paraId="6A7A85EE" w14:textId="77777777" w:rsidR="00B841AB" w:rsidRPr="000F4843" w:rsidRDefault="00B841AB">
      <w:pPr>
        <w:rPr>
          <w:rFonts w:ascii="Arial" w:hAnsi="Arial" w:cs="Arial"/>
          <w:sz w:val="20"/>
          <w:szCs w:val="20"/>
        </w:rPr>
      </w:pPr>
    </w:p>
    <w:p w14:paraId="2534043E" w14:textId="58EB073C" w:rsidR="009B4828" w:rsidRPr="000F4843" w:rsidRDefault="00B841AB">
      <w:pPr>
        <w:rPr>
          <w:rFonts w:ascii="Arial" w:hAnsi="Arial" w:cs="Arial"/>
          <w:sz w:val="20"/>
          <w:szCs w:val="20"/>
        </w:rPr>
      </w:pPr>
      <w:r w:rsidRPr="000F4843">
        <w:rPr>
          <w:rFonts w:ascii="Arial" w:hAnsi="Arial" w:cs="Arial"/>
          <w:sz w:val="20"/>
          <w:szCs w:val="20"/>
        </w:rPr>
        <w:t xml:space="preserve">Mentoring plans describe the elements that will be provided to the graduate students supported by the NSF funding. </w:t>
      </w:r>
      <w:r w:rsidR="009B4828" w:rsidRPr="000F4843">
        <w:rPr>
          <w:rFonts w:ascii="Arial" w:hAnsi="Arial" w:cs="Arial"/>
          <w:sz w:val="20"/>
          <w:szCs w:val="20"/>
        </w:rPr>
        <w:t>These elements should be tailored to prepare graduate students for their chosen career path and include:</w:t>
      </w:r>
    </w:p>
    <w:p w14:paraId="4F27548F" w14:textId="77777777" w:rsidR="009B4828" w:rsidRPr="000F4843" w:rsidRDefault="009B4828">
      <w:pPr>
        <w:rPr>
          <w:rFonts w:ascii="Arial" w:hAnsi="Arial" w:cs="Arial"/>
          <w:sz w:val="20"/>
          <w:szCs w:val="20"/>
        </w:rPr>
      </w:pPr>
    </w:p>
    <w:p w14:paraId="58A51309" w14:textId="062DA8FD" w:rsidR="009B4828" w:rsidRPr="000F4843" w:rsidRDefault="009B4828" w:rsidP="00996D7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F4843">
        <w:rPr>
          <w:rFonts w:ascii="Arial" w:hAnsi="Arial" w:cs="Arial"/>
          <w:b/>
          <w:bCs/>
          <w:sz w:val="20"/>
          <w:szCs w:val="20"/>
        </w:rPr>
        <w:t>Orientation</w:t>
      </w:r>
      <w:r w:rsidRPr="000F4843">
        <w:rPr>
          <w:rFonts w:ascii="Arial" w:hAnsi="Arial" w:cs="Arial"/>
          <w:sz w:val="20"/>
          <w:szCs w:val="20"/>
        </w:rPr>
        <w:t xml:space="preserve"> will occur within or prior to the first week of the first semester with the </w:t>
      </w:r>
      <w:r w:rsidRPr="0043799D">
        <w:rPr>
          <w:rFonts w:ascii="Arial" w:hAnsi="Arial" w:cs="Arial"/>
          <w:sz w:val="20"/>
          <w:szCs w:val="20"/>
          <w:highlight w:val="yellow"/>
        </w:rPr>
        <w:t>[PI name</w:t>
      </w:r>
      <w:r w:rsidRPr="0043799D">
        <w:rPr>
          <w:rFonts w:ascii="Arial" w:hAnsi="Arial" w:cs="Arial"/>
          <w:sz w:val="20"/>
          <w:szCs w:val="20"/>
        </w:rPr>
        <w:t>]</w:t>
      </w:r>
      <w:r w:rsidRPr="000F4843">
        <w:rPr>
          <w:rFonts w:ascii="Arial" w:hAnsi="Arial" w:cs="Arial"/>
          <w:sz w:val="20"/>
          <w:szCs w:val="20"/>
        </w:rPr>
        <w:t xml:space="preserve"> and the graduate student. </w:t>
      </w:r>
      <w:r w:rsidR="00D44379" w:rsidRPr="000F4843">
        <w:rPr>
          <w:rFonts w:ascii="Arial" w:hAnsi="Arial" w:cs="Arial"/>
          <w:sz w:val="20"/>
          <w:szCs w:val="20"/>
        </w:rPr>
        <w:t xml:space="preserve">To support the expectation-setting process, the PI and the graduate student </w:t>
      </w:r>
      <w:r w:rsidR="005C605D">
        <w:rPr>
          <w:rFonts w:ascii="Arial" w:hAnsi="Arial" w:cs="Arial"/>
          <w:sz w:val="20"/>
          <w:szCs w:val="20"/>
        </w:rPr>
        <w:t>will</w:t>
      </w:r>
      <w:r w:rsidR="00D44379" w:rsidRPr="000F4843">
        <w:rPr>
          <w:rFonts w:ascii="Arial" w:hAnsi="Arial" w:cs="Arial"/>
          <w:sz w:val="20"/>
          <w:szCs w:val="20"/>
        </w:rPr>
        <w:t xml:space="preserve"> review the PI’s </w:t>
      </w:r>
      <w:r w:rsidR="009A61F3" w:rsidRPr="000F4843">
        <w:rPr>
          <w:rFonts w:ascii="Arial" w:hAnsi="Arial" w:cs="Arial"/>
          <w:sz w:val="20"/>
          <w:szCs w:val="20"/>
        </w:rPr>
        <w:t>mentoring agreement</w:t>
      </w:r>
      <w:r w:rsidR="00D44379" w:rsidRPr="000F4843">
        <w:rPr>
          <w:rFonts w:ascii="Arial" w:hAnsi="Arial" w:cs="Arial"/>
          <w:sz w:val="20"/>
          <w:szCs w:val="20"/>
        </w:rPr>
        <w:t xml:space="preserve"> during orientation and annually</w:t>
      </w:r>
      <w:r w:rsidRPr="000F4843">
        <w:rPr>
          <w:rFonts w:ascii="Arial" w:hAnsi="Arial" w:cs="Arial"/>
          <w:sz w:val="20"/>
          <w:szCs w:val="20"/>
        </w:rPr>
        <w:t>.</w:t>
      </w:r>
      <w:r w:rsidR="00D44379" w:rsidRPr="000F4843">
        <w:rPr>
          <w:rFonts w:ascii="Arial" w:hAnsi="Arial" w:cs="Arial"/>
          <w:sz w:val="20"/>
          <w:szCs w:val="20"/>
        </w:rPr>
        <w:t xml:space="preserve"> The Graduate School also provides virtual and in-person orientation </w:t>
      </w:r>
      <w:r w:rsidR="000F4843">
        <w:rPr>
          <w:rFonts w:ascii="Arial" w:hAnsi="Arial" w:cs="Arial"/>
          <w:sz w:val="20"/>
          <w:szCs w:val="20"/>
        </w:rPr>
        <w:t>for all incoming graduate students at the beginning of every semester</w:t>
      </w:r>
      <w:r w:rsidR="00D44379" w:rsidRPr="000F4843">
        <w:rPr>
          <w:rFonts w:ascii="Arial" w:hAnsi="Arial" w:cs="Arial"/>
          <w:sz w:val="20"/>
          <w:szCs w:val="20"/>
        </w:rPr>
        <w:t>.</w:t>
      </w:r>
      <w:r w:rsidR="00996D7D" w:rsidRPr="000F4843">
        <w:rPr>
          <w:rFonts w:ascii="Arial" w:hAnsi="Arial" w:cs="Arial"/>
          <w:sz w:val="20"/>
          <w:szCs w:val="20"/>
        </w:rPr>
        <w:t xml:space="preserve"> Additionally, </w:t>
      </w:r>
      <w:r w:rsidR="000F4843">
        <w:rPr>
          <w:rFonts w:ascii="Arial" w:hAnsi="Arial" w:cs="Arial"/>
          <w:sz w:val="20"/>
          <w:szCs w:val="20"/>
        </w:rPr>
        <w:t xml:space="preserve">graduate </w:t>
      </w:r>
      <w:r w:rsidR="00996D7D" w:rsidRPr="000F4843">
        <w:rPr>
          <w:rFonts w:ascii="Arial" w:hAnsi="Arial" w:cs="Arial"/>
          <w:sz w:val="20"/>
          <w:szCs w:val="20"/>
        </w:rPr>
        <w:t>students should attend a GRAD 360° training to create an Individual Development Plan</w:t>
      </w:r>
      <w:r w:rsidR="00F26920">
        <w:rPr>
          <w:rFonts w:ascii="Arial" w:hAnsi="Arial" w:cs="Arial"/>
          <w:sz w:val="20"/>
          <w:szCs w:val="20"/>
        </w:rPr>
        <w:t xml:space="preserve"> (IDP)</w:t>
      </w:r>
      <w:r w:rsidR="00996D7D" w:rsidRPr="000F4843">
        <w:rPr>
          <w:rFonts w:ascii="Arial" w:hAnsi="Arial" w:cs="Arial"/>
          <w:sz w:val="20"/>
          <w:szCs w:val="20"/>
        </w:rPr>
        <w:t xml:space="preserve">, which will be updated yearly with </w:t>
      </w:r>
      <w:r w:rsidR="000F4843" w:rsidRPr="0043799D">
        <w:rPr>
          <w:rFonts w:ascii="Arial" w:hAnsi="Arial" w:cs="Arial"/>
          <w:sz w:val="20"/>
          <w:szCs w:val="20"/>
          <w:highlight w:val="yellow"/>
        </w:rPr>
        <w:t>[PI name</w:t>
      </w:r>
      <w:r w:rsidR="000F4843" w:rsidRPr="0043799D">
        <w:rPr>
          <w:rFonts w:ascii="Arial" w:hAnsi="Arial" w:cs="Arial"/>
          <w:sz w:val="20"/>
          <w:szCs w:val="20"/>
        </w:rPr>
        <w:t>]</w:t>
      </w:r>
      <w:r w:rsidR="00996D7D" w:rsidRPr="000F4843">
        <w:rPr>
          <w:rFonts w:ascii="Arial" w:hAnsi="Arial" w:cs="Arial"/>
          <w:sz w:val="20"/>
          <w:szCs w:val="20"/>
        </w:rPr>
        <w:t xml:space="preserve">. </w:t>
      </w:r>
      <w:r w:rsidR="00F26920">
        <w:rPr>
          <w:rFonts w:ascii="Arial" w:eastAsia="Arial" w:hAnsi="Arial" w:cs="Arial"/>
          <w:sz w:val="20"/>
          <w:szCs w:val="20"/>
        </w:rPr>
        <w:t>Graduate students</w:t>
      </w:r>
      <w:r w:rsidR="00F26920">
        <w:rPr>
          <w:rFonts w:ascii="Arial" w:eastAsia="Arial" w:hAnsi="Arial" w:cs="Arial"/>
          <w:sz w:val="20"/>
          <w:szCs w:val="20"/>
        </w:rPr>
        <w:t xml:space="preserve"> will complete training for Human Subjects Research and Responsible Conduct of Research certifications provided through Clemson University and membership in the Collaborative Institutional Training Initiative (CITI), which meets NSF requirements.</w:t>
      </w:r>
    </w:p>
    <w:p w14:paraId="47B44F16" w14:textId="2C1C16FC" w:rsidR="009B4828" w:rsidRPr="000F4843" w:rsidRDefault="009B4828" w:rsidP="009B482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F4843">
        <w:rPr>
          <w:rFonts w:ascii="Arial" w:hAnsi="Arial" w:cs="Arial"/>
          <w:b/>
          <w:bCs/>
          <w:sz w:val="20"/>
          <w:szCs w:val="20"/>
        </w:rPr>
        <w:t xml:space="preserve">Career </w:t>
      </w:r>
      <w:r w:rsidR="005C605D">
        <w:rPr>
          <w:rFonts w:ascii="Arial" w:hAnsi="Arial" w:cs="Arial"/>
          <w:b/>
          <w:bCs/>
          <w:sz w:val="20"/>
          <w:szCs w:val="20"/>
        </w:rPr>
        <w:t>Counseling</w:t>
      </w:r>
      <w:r w:rsidR="00D44379" w:rsidRPr="000F4843">
        <w:rPr>
          <w:rFonts w:ascii="Arial" w:hAnsi="Arial" w:cs="Arial"/>
          <w:b/>
          <w:bCs/>
          <w:sz w:val="20"/>
          <w:szCs w:val="20"/>
        </w:rPr>
        <w:t xml:space="preserve"> </w:t>
      </w:r>
      <w:r w:rsidR="00D44379" w:rsidRPr="000F4843">
        <w:rPr>
          <w:rFonts w:ascii="Arial" w:hAnsi="Arial" w:cs="Arial"/>
          <w:sz w:val="20"/>
          <w:szCs w:val="20"/>
        </w:rPr>
        <w:t xml:space="preserve">will be provided in part by the Michelin Career Center for Professional Development, Clemson’s professional development program for graduate students (Grad 360°) and by </w:t>
      </w:r>
      <w:r w:rsidR="005C605D" w:rsidRPr="0043799D">
        <w:rPr>
          <w:rFonts w:ascii="Arial" w:hAnsi="Arial" w:cs="Arial"/>
          <w:sz w:val="20"/>
          <w:szCs w:val="20"/>
          <w:highlight w:val="yellow"/>
        </w:rPr>
        <w:t>[PI name</w:t>
      </w:r>
      <w:r w:rsidR="005C605D" w:rsidRPr="0043799D">
        <w:rPr>
          <w:rFonts w:ascii="Arial" w:hAnsi="Arial" w:cs="Arial"/>
          <w:sz w:val="20"/>
          <w:szCs w:val="20"/>
        </w:rPr>
        <w:t>]</w:t>
      </w:r>
      <w:r w:rsidRPr="0043799D">
        <w:rPr>
          <w:rFonts w:ascii="Arial" w:hAnsi="Arial" w:cs="Arial"/>
          <w:sz w:val="20"/>
          <w:szCs w:val="20"/>
        </w:rPr>
        <w:t>.</w:t>
      </w:r>
    </w:p>
    <w:p w14:paraId="736F30D7" w14:textId="763495C1" w:rsidR="000F4843" w:rsidRDefault="000F4843" w:rsidP="000F484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F4843">
        <w:rPr>
          <w:rFonts w:ascii="Arial" w:hAnsi="Arial" w:cs="Arial"/>
          <w:b/>
          <w:sz w:val="20"/>
          <w:szCs w:val="20"/>
        </w:rPr>
        <w:t xml:space="preserve">Professional Development: </w:t>
      </w:r>
      <w:r w:rsidRPr="000F4843">
        <w:rPr>
          <w:rFonts w:ascii="Arial" w:hAnsi="Arial" w:cs="Arial"/>
          <w:sz w:val="20"/>
          <w:szCs w:val="20"/>
        </w:rPr>
        <w:t xml:space="preserve">The </w:t>
      </w:r>
      <w:r w:rsidRPr="000F4843">
        <w:rPr>
          <w:rFonts w:ascii="Arial" w:hAnsi="Arial" w:cs="Arial"/>
          <w:sz w:val="20"/>
          <w:szCs w:val="20"/>
        </w:rPr>
        <w:t>graduate student</w:t>
      </w:r>
      <w:r w:rsidRPr="000F4843">
        <w:rPr>
          <w:rFonts w:ascii="Arial" w:hAnsi="Arial" w:cs="Arial"/>
          <w:sz w:val="20"/>
          <w:szCs w:val="20"/>
        </w:rPr>
        <w:t xml:space="preserve"> will participate in the Graduate School’s professional development </w:t>
      </w:r>
      <w:r w:rsidRPr="000F4843">
        <w:rPr>
          <w:rFonts w:ascii="Arial" w:hAnsi="Arial" w:cs="Arial"/>
          <w:sz w:val="20"/>
          <w:szCs w:val="20"/>
        </w:rPr>
        <w:t>program, Grad 360°. Grad 360°</w:t>
      </w:r>
      <w:r w:rsidRPr="000F4843">
        <w:rPr>
          <w:rFonts w:ascii="Arial" w:hAnsi="Arial" w:cs="Arial"/>
          <w:sz w:val="20"/>
          <w:szCs w:val="20"/>
        </w:rPr>
        <w:t xml:space="preserve"> provides weekly workshops and resources around </w:t>
      </w:r>
      <w:r w:rsidR="005C605D">
        <w:rPr>
          <w:rFonts w:ascii="Arial" w:hAnsi="Arial" w:cs="Arial"/>
          <w:sz w:val="20"/>
          <w:szCs w:val="20"/>
        </w:rPr>
        <w:t>nine</w:t>
      </w:r>
      <w:r w:rsidRPr="000F4843">
        <w:rPr>
          <w:rFonts w:ascii="Arial" w:hAnsi="Arial" w:cs="Arial"/>
          <w:sz w:val="20"/>
          <w:szCs w:val="20"/>
        </w:rPr>
        <w:t xml:space="preserve"> core competencies: </w:t>
      </w:r>
      <w:r w:rsidR="005C605D">
        <w:rPr>
          <w:rFonts w:ascii="Arial" w:hAnsi="Arial" w:cs="Arial"/>
          <w:sz w:val="20"/>
          <w:szCs w:val="20"/>
        </w:rPr>
        <w:t xml:space="preserve">leadership and management, career development, </w:t>
      </w:r>
      <w:r w:rsidRPr="000F4843">
        <w:rPr>
          <w:rFonts w:ascii="Arial" w:hAnsi="Arial" w:cs="Arial"/>
          <w:sz w:val="20"/>
          <w:szCs w:val="20"/>
        </w:rPr>
        <w:t xml:space="preserve">professionalism and ethics, research and innovation, health and wellness, teaching and learning, mentoring, oral, written, and intercultural communication, </w:t>
      </w:r>
      <w:r w:rsidR="005C605D">
        <w:rPr>
          <w:rFonts w:ascii="Arial" w:hAnsi="Arial" w:cs="Arial"/>
          <w:sz w:val="20"/>
          <w:szCs w:val="20"/>
        </w:rPr>
        <w:t xml:space="preserve">and </w:t>
      </w:r>
      <w:r w:rsidRPr="000F4843">
        <w:rPr>
          <w:rFonts w:ascii="Arial" w:hAnsi="Arial" w:cs="Arial"/>
          <w:sz w:val="20"/>
          <w:szCs w:val="20"/>
        </w:rPr>
        <w:t>social and global responsibility</w:t>
      </w:r>
      <w:r w:rsidRPr="000F4843">
        <w:rPr>
          <w:rFonts w:ascii="Arial" w:hAnsi="Arial" w:cs="Arial"/>
          <w:sz w:val="20"/>
          <w:szCs w:val="20"/>
        </w:rPr>
        <w:t>. Training in entrepreneurship</w:t>
      </w:r>
      <w:r w:rsidRPr="000F4843">
        <w:rPr>
          <w:rFonts w:ascii="Arial" w:hAnsi="Arial" w:cs="Arial"/>
          <w:sz w:val="20"/>
          <w:szCs w:val="20"/>
        </w:rPr>
        <w:t xml:space="preserve"> and industry-focused career experiential opportunities are also available</w:t>
      </w:r>
      <w:r w:rsidRPr="000F4843">
        <w:rPr>
          <w:rFonts w:ascii="Arial" w:hAnsi="Arial" w:cs="Arial"/>
          <w:sz w:val="20"/>
          <w:szCs w:val="20"/>
        </w:rPr>
        <w:t xml:space="preserve">. </w:t>
      </w:r>
      <w:r w:rsidRPr="000F4843">
        <w:rPr>
          <w:rFonts w:ascii="Arial" w:hAnsi="Arial" w:cs="Arial"/>
          <w:sz w:val="20"/>
          <w:szCs w:val="20"/>
        </w:rPr>
        <w:t>Graduate student</w:t>
      </w:r>
      <w:r w:rsidRPr="000F4843">
        <w:rPr>
          <w:rFonts w:ascii="Arial" w:hAnsi="Arial" w:cs="Arial"/>
          <w:sz w:val="20"/>
          <w:szCs w:val="20"/>
        </w:rPr>
        <w:t>s can also participate remotely in The National Center for Faculty Development &amp; Diversity (NCFDD) core curriculum and additional workshops.  NCFDD focuses on four areas to help individuals thrive in academia: strategic planning, productivity, professional relationships, and work-life balance.</w:t>
      </w:r>
      <w:r w:rsidRPr="000F4843">
        <w:rPr>
          <w:rFonts w:ascii="Arial" w:hAnsi="Arial" w:cs="Arial"/>
          <w:sz w:val="20"/>
          <w:szCs w:val="20"/>
        </w:rPr>
        <w:t xml:space="preserve"> </w:t>
      </w:r>
    </w:p>
    <w:p w14:paraId="26A54F3D" w14:textId="77777777" w:rsidR="0043799D" w:rsidRDefault="005C605D" w:rsidP="0043799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605D">
        <w:rPr>
          <w:rFonts w:ascii="Arial" w:hAnsi="Arial" w:cs="Arial"/>
          <w:b/>
          <w:bCs/>
          <w:sz w:val="20"/>
          <w:szCs w:val="20"/>
        </w:rPr>
        <w:t>Mentoring</w:t>
      </w:r>
      <w:r w:rsidR="0043799D" w:rsidRPr="005C605D">
        <w:rPr>
          <w:rFonts w:ascii="Arial" w:hAnsi="Arial" w:cs="Arial"/>
          <w:b/>
          <w:bCs/>
          <w:sz w:val="20"/>
          <w:szCs w:val="20"/>
        </w:rPr>
        <w:t>:</w:t>
      </w:r>
      <w:r w:rsidR="0043799D">
        <w:rPr>
          <w:rFonts w:ascii="Arial" w:hAnsi="Arial" w:cs="Arial"/>
          <w:sz w:val="20"/>
          <w:szCs w:val="20"/>
        </w:rPr>
        <w:t xml:space="preserve"> </w:t>
      </w:r>
      <w:r w:rsidR="0043799D" w:rsidRPr="000F4843">
        <w:rPr>
          <w:rFonts w:ascii="Arial" w:hAnsi="Arial" w:cs="Arial"/>
          <w:sz w:val="20"/>
          <w:szCs w:val="20"/>
        </w:rPr>
        <w:t>Graduate students will also learn mentoring best practices via GCTM</w:t>
      </w:r>
      <w:r w:rsidR="0043799D">
        <w:rPr>
          <w:rFonts w:ascii="Arial" w:hAnsi="Arial" w:cs="Arial"/>
          <w:sz w:val="20"/>
          <w:szCs w:val="20"/>
        </w:rPr>
        <w:t>’s Mentoring Up</w:t>
      </w:r>
      <w:r w:rsidR="0043799D" w:rsidRPr="000F4843">
        <w:rPr>
          <w:rFonts w:ascii="Arial" w:hAnsi="Arial" w:cs="Arial"/>
          <w:sz w:val="20"/>
          <w:szCs w:val="20"/>
        </w:rPr>
        <w:t xml:space="preserve"> training</w:t>
      </w:r>
      <w:r w:rsidR="0043799D">
        <w:rPr>
          <w:rFonts w:ascii="Arial" w:hAnsi="Arial" w:cs="Arial"/>
          <w:sz w:val="20"/>
          <w:szCs w:val="20"/>
        </w:rPr>
        <w:t xml:space="preserve"> and will have the opportunity to receive a digital badge “Graduate Certified Mentor” after participating in 8 workshops, including writing a mentoring philosophy. In Mentoring Up, graduate students learn to mentor, as well as enhance the mentoring relationship with their PI. Graduate students</w:t>
      </w:r>
      <w:r w:rsidR="0043799D" w:rsidRPr="000F4843">
        <w:rPr>
          <w:rFonts w:ascii="Arial" w:hAnsi="Arial" w:cs="Arial"/>
          <w:sz w:val="20"/>
          <w:szCs w:val="20"/>
        </w:rPr>
        <w:t xml:space="preserve"> will have the opportunity to mentor </w:t>
      </w:r>
      <w:r w:rsidR="0043799D" w:rsidRPr="0043799D">
        <w:rPr>
          <w:rFonts w:ascii="Arial" w:hAnsi="Arial" w:cs="Arial"/>
          <w:sz w:val="20"/>
          <w:szCs w:val="20"/>
          <w:highlight w:val="yellow"/>
        </w:rPr>
        <w:t>[undergraduates, graduate students</w:t>
      </w:r>
      <w:r w:rsidR="0043799D" w:rsidRPr="0043799D">
        <w:rPr>
          <w:rFonts w:ascii="Arial" w:hAnsi="Arial" w:cs="Arial"/>
          <w:sz w:val="20"/>
          <w:szCs w:val="20"/>
        </w:rPr>
        <w:t>]</w:t>
      </w:r>
      <w:r w:rsidR="0043799D" w:rsidRPr="000F4843">
        <w:rPr>
          <w:rFonts w:ascii="Arial" w:hAnsi="Arial" w:cs="Arial"/>
          <w:sz w:val="20"/>
          <w:szCs w:val="20"/>
        </w:rPr>
        <w:t xml:space="preserve"> within the lab group.</w:t>
      </w:r>
    </w:p>
    <w:p w14:paraId="67D45989" w14:textId="252335D8" w:rsidR="0043799D" w:rsidRPr="0043799D" w:rsidRDefault="0043799D" w:rsidP="0043799D">
      <w:pPr>
        <w:pStyle w:val="ListParagraph"/>
        <w:numPr>
          <w:ilvl w:val="0"/>
          <w:numId w:val="1"/>
        </w:numPr>
        <w:ind w:right="197"/>
        <w:rPr>
          <w:rFonts w:ascii="Arial" w:eastAsia="Arial" w:hAnsi="Arial" w:cs="Arial"/>
          <w:sz w:val="20"/>
          <w:szCs w:val="20"/>
        </w:rPr>
      </w:pPr>
      <w:r w:rsidRPr="0043799D">
        <w:rPr>
          <w:rFonts w:ascii="Arial" w:eastAsia="Arial" w:hAnsi="Arial" w:cs="Arial"/>
          <w:b/>
          <w:sz w:val="20"/>
          <w:szCs w:val="20"/>
        </w:rPr>
        <w:t>Grant-writing Experience</w:t>
      </w:r>
      <w:r>
        <w:rPr>
          <w:rFonts w:ascii="Arial" w:eastAsia="Arial" w:hAnsi="Arial" w:cs="Arial"/>
          <w:b/>
          <w:sz w:val="20"/>
          <w:szCs w:val="20"/>
        </w:rPr>
        <w:t xml:space="preserve">: </w:t>
      </w:r>
      <w:r>
        <w:rPr>
          <w:rFonts w:ascii="Arial" w:eastAsia="Arial" w:hAnsi="Arial" w:cs="Arial"/>
          <w:bCs/>
          <w:sz w:val="20"/>
          <w:szCs w:val="20"/>
        </w:rPr>
        <w:t>Graduate students</w:t>
      </w:r>
      <w:r w:rsidRPr="0043799D">
        <w:rPr>
          <w:rFonts w:ascii="Arial" w:eastAsia="Arial" w:hAnsi="Arial" w:cs="Arial"/>
          <w:sz w:val="20"/>
          <w:szCs w:val="20"/>
        </w:rPr>
        <w:t xml:space="preserve"> will have the opportunity to learn effective grant-writing practices</w:t>
      </w:r>
      <w:r w:rsidR="00167941">
        <w:rPr>
          <w:rFonts w:ascii="Arial" w:eastAsia="Arial" w:hAnsi="Arial" w:cs="Arial"/>
          <w:sz w:val="20"/>
          <w:szCs w:val="20"/>
        </w:rPr>
        <w:t>,</w:t>
      </w:r>
      <w:r w:rsidRPr="0043799D">
        <w:rPr>
          <w:rFonts w:ascii="Arial" w:eastAsia="Arial" w:hAnsi="Arial" w:cs="Arial"/>
          <w:sz w:val="20"/>
          <w:szCs w:val="20"/>
        </w:rPr>
        <w:t xml:space="preserve"> including identifying the context, significance, and objectives; describing the design and rationale; and constructing a work plan, timeline, and budget. </w:t>
      </w:r>
    </w:p>
    <w:p w14:paraId="587BC931" w14:textId="78138074" w:rsidR="0043799D" w:rsidRPr="0043799D" w:rsidRDefault="0043799D" w:rsidP="0043799D">
      <w:pPr>
        <w:pStyle w:val="ListParagraph"/>
        <w:numPr>
          <w:ilvl w:val="0"/>
          <w:numId w:val="1"/>
        </w:numPr>
        <w:ind w:right="197"/>
        <w:rPr>
          <w:rFonts w:ascii="Arial" w:eastAsia="Arial" w:hAnsi="Arial" w:cs="Arial"/>
          <w:sz w:val="20"/>
          <w:szCs w:val="20"/>
        </w:rPr>
      </w:pPr>
      <w:r w:rsidRPr="0043799D">
        <w:rPr>
          <w:rFonts w:ascii="Arial" w:eastAsia="Arial" w:hAnsi="Arial" w:cs="Arial"/>
          <w:b/>
          <w:sz w:val="20"/>
          <w:szCs w:val="20"/>
        </w:rPr>
        <w:t xml:space="preserve">Publications and Presentations </w:t>
      </w:r>
      <w:r w:rsidRPr="0043799D">
        <w:rPr>
          <w:rFonts w:ascii="Arial" w:eastAsia="Arial" w:hAnsi="Arial" w:cs="Arial"/>
          <w:sz w:val="20"/>
          <w:szCs w:val="20"/>
        </w:rPr>
        <w:t xml:space="preserve">are expected to result from the work supported by the grant. These will be prepared in collaboration with </w:t>
      </w:r>
      <w:r>
        <w:rPr>
          <w:rFonts w:ascii="Arial" w:eastAsia="Arial" w:hAnsi="Arial" w:cs="Arial"/>
          <w:sz w:val="20"/>
          <w:szCs w:val="20"/>
        </w:rPr>
        <w:t xml:space="preserve">the research team </w:t>
      </w:r>
      <w:r w:rsidRPr="0043799D">
        <w:rPr>
          <w:rFonts w:ascii="Arial" w:eastAsia="Arial" w:hAnsi="Arial" w:cs="Arial"/>
          <w:sz w:val="20"/>
          <w:szCs w:val="20"/>
        </w:rPr>
        <w:t xml:space="preserve">and others as appropriate. The </w:t>
      </w:r>
      <w:r>
        <w:rPr>
          <w:rFonts w:ascii="Arial" w:eastAsia="Arial" w:hAnsi="Arial" w:cs="Arial"/>
          <w:sz w:val="20"/>
          <w:szCs w:val="20"/>
        </w:rPr>
        <w:t>graduate students</w:t>
      </w:r>
      <w:r w:rsidRPr="0043799D">
        <w:rPr>
          <w:rFonts w:ascii="Arial" w:eastAsia="Arial" w:hAnsi="Arial" w:cs="Arial"/>
          <w:sz w:val="20"/>
          <w:szCs w:val="20"/>
        </w:rPr>
        <w:t xml:space="preserve"> will receive guidance and training in the preparation and peer review of manuscripts for scholarly journals, a</w:t>
      </w:r>
      <w:r>
        <w:rPr>
          <w:rFonts w:ascii="Arial" w:eastAsia="Arial" w:hAnsi="Arial" w:cs="Arial"/>
          <w:sz w:val="20"/>
          <w:szCs w:val="20"/>
        </w:rPr>
        <w:t>s well as</w:t>
      </w:r>
      <w:r w:rsidRPr="0043799D">
        <w:rPr>
          <w:rFonts w:ascii="Arial" w:eastAsia="Arial" w:hAnsi="Arial" w:cs="Arial"/>
          <w:sz w:val="20"/>
          <w:szCs w:val="20"/>
        </w:rPr>
        <w:t xml:space="preserve"> presentations at conferences. </w:t>
      </w:r>
      <w:r>
        <w:rPr>
          <w:rFonts w:ascii="Arial" w:eastAsia="Arial" w:hAnsi="Arial" w:cs="Arial"/>
          <w:sz w:val="20"/>
          <w:szCs w:val="20"/>
        </w:rPr>
        <w:t>Graduate students</w:t>
      </w:r>
      <w:r w:rsidRPr="0043799D">
        <w:rPr>
          <w:rFonts w:ascii="Arial" w:eastAsia="Arial" w:hAnsi="Arial" w:cs="Arial"/>
          <w:sz w:val="20"/>
          <w:szCs w:val="20"/>
        </w:rPr>
        <w:t xml:space="preserve"> will travel to relevant conferences and meet virtually with NSF program officers to foster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 w:rsidRPr="0043799D">
        <w:rPr>
          <w:rFonts w:ascii="Arial" w:eastAsia="Arial" w:hAnsi="Arial" w:cs="Arial"/>
          <w:sz w:val="20"/>
          <w:szCs w:val="20"/>
        </w:rPr>
        <w:t xml:space="preserve">expansion of each </w:t>
      </w:r>
      <w:r>
        <w:rPr>
          <w:rFonts w:ascii="Arial" w:eastAsia="Arial" w:hAnsi="Arial" w:cs="Arial"/>
          <w:sz w:val="20"/>
          <w:szCs w:val="20"/>
        </w:rPr>
        <w:t>graduate student</w:t>
      </w:r>
      <w:r w:rsidRPr="0043799D">
        <w:rPr>
          <w:rFonts w:ascii="Arial" w:eastAsia="Arial" w:hAnsi="Arial" w:cs="Arial"/>
          <w:sz w:val="20"/>
          <w:szCs w:val="20"/>
        </w:rPr>
        <w:t xml:space="preserve">'s knowledge and professional network.  </w:t>
      </w:r>
    </w:p>
    <w:p w14:paraId="213FA8AC" w14:textId="1F0FC28F" w:rsidR="0096161F" w:rsidRPr="0043799D" w:rsidRDefault="0043799D" w:rsidP="0043799D">
      <w:pPr>
        <w:pStyle w:val="ListParagraph"/>
        <w:numPr>
          <w:ilvl w:val="0"/>
          <w:numId w:val="1"/>
        </w:numPr>
        <w:ind w:right="197"/>
        <w:rPr>
          <w:rFonts w:ascii="Arial" w:eastAsia="Arial" w:hAnsi="Arial" w:cs="Arial"/>
          <w:sz w:val="20"/>
          <w:szCs w:val="20"/>
        </w:rPr>
      </w:pPr>
      <w:r w:rsidRPr="0043799D">
        <w:rPr>
          <w:rFonts w:ascii="Arial" w:eastAsia="Arial" w:hAnsi="Arial" w:cs="Arial"/>
          <w:b/>
          <w:sz w:val="20"/>
          <w:szCs w:val="20"/>
        </w:rPr>
        <w:t>Assessment</w:t>
      </w:r>
      <w:r>
        <w:rPr>
          <w:rFonts w:ascii="Arial" w:eastAsia="Arial" w:hAnsi="Arial" w:cs="Arial"/>
          <w:b/>
          <w:sz w:val="20"/>
          <w:szCs w:val="20"/>
        </w:rPr>
        <w:t xml:space="preserve"> of Success:</w:t>
      </w:r>
      <w:r w:rsidRPr="0043799D">
        <w:rPr>
          <w:rFonts w:ascii="Arial" w:eastAsia="Arial" w:hAnsi="Arial" w:cs="Arial"/>
          <w:sz w:val="20"/>
          <w:szCs w:val="20"/>
        </w:rPr>
        <w:t xml:space="preserve"> The success of the mentoring plan will be assessed and documented through annual meetings of </w:t>
      </w:r>
      <w:r>
        <w:rPr>
          <w:rFonts w:ascii="Arial" w:eastAsia="Arial" w:hAnsi="Arial" w:cs="Arial"/>
          <w:sz w:val="20"/>
          <w:szCs w:val="20"/>
        </w:rPr>
        <w:t xml:space="preserve">the graduate student and </w:t>
      </w:r>
      <w:r w:rsidRPr="0043799D">
        <w:rPr>
          <w:rFonts w:ascii="Arial" w:hAnsi="Arial" w:cs="Arial"/>
          <w:sz w:val="20"/>
          <w:szCs w:val="20"/>
          <w:highlight w:val="yellow"/>
        </w:rPr>
        <w:t>[PI name</w:t>
      </w:r>
      <w:r w:rsidRPr="0043799D">
        <w:rPr>
          <w:rFonts w:ascii="Arial" w:hAnsi="Arial" w:cs="Arial"/>
          <w:sz w:val="20"/>
          <w:szCs w:val="20"/>
        </w:rPr>
        <w:t>]</w:t>
      </w:r>
      <w:r w:rsidRPr="0043799D">
        <w:rPr>
          <w:rFonts w:ascii="Arial" w:eastAsia="Arial" w:hAnsi="Arial" w:cs="Arial"/>
          <w:sz w:val="20"/>
          <w:szCs w:val="20"/>
        </w:rPr>
        <w:t xml:space="preserve"> to evaluate progress toward professional and career goals.</w:t>
      </w:r>
      <w:r>
        <w:rPr>
          <w:rFonts w:ascii="Arial" w:eastAsia="Arial" w:hAnsi="Arial" w:cs="Arial"/>
          <w:sz w:val="20"/>
          <w:szCs w:val="20"/>
        </w:rPr>
        <w:t xml:space="preserve"> This meeting will also include a review of the graduate student’s updated IDP</w:t>
      </w:r>
      <w:r w:rsidR="00F26920">
        <w:rPr>
          <w:rFonts w:ascii="Arial" w:eastAsia="Arial" w:hAnsi="Arial" w:cs="Arial"/>
          <w:sz w:val="20"/>
          <w:szCs w:val="20"/>
        </w:rPr>
        <w:t xml:space="preserve">, as well as </w:t>
      </w:r>
      <w:r>
        <w:rPr>
          <w:rFonts w:ascii="Arial" w:eastAsia="Arial" w:hAnsi="Arial" w:cs="Arial"/>
          <w:sz w:val="20"/>
          <w:szCs w:val="20"/>
        </w:rPr>
        <w:t>their participation in Grad 360°</w:t>
      </w:r>
      <w:r w:rsidR="00F26920">
        <w:rPr>
          <w:rFonts w:ascii="Arial" w:eastAsia="Arial" w:hAnsi="Arial" w:cs="Arial"/>
          <w:sz w:val="20"/>
          <w:szCs w:val="20"/>
        </w:rPr>
        <w:t xml:space="preserve"> and Mentoring Up.</w:t>
      </w:r>
    </w:p>
    <w:sectPr w:rsidR="0096161F" w:rsidRPr="0043799D" w:rsidSect="00637953">
      <w:headerReference w:type="default" r:id="rId9"/>
      <w:pgSz w:w="12240" w:h="15840"/>
      <w:pgMar w:top="1440" w:right="1440" w:bottom="144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DA96D" w14:textId="77777777" w:rsidR="00637953" w:rsidRDefault="00637953" w:rsidP="009A61F3">
      <w:r>
        <w:separator/>
      </w:r>
    </w:p>
  </w:endnote>
  <w:endnote w:type="continuationSeparator" w:id="0">
    <w:p w14:paraId="5E3270FB" w14:textId="77777777" w:rsidR="00637953" w:rsidRDefault="00637953" w:rsidP="009A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1FB9A" w14:textId="77777777" w:rsidR="00637953" w:rsidRDefault="00637953" w:rsidP="009A61F3">
      <w:r>
        <w:separator/>
      </w:r>
    </w:p>
  </w:footnote>
  <w:footnote w:type="continuationSeparator" w:id="0">
    <w:p w14:paraId="65898EB9" w14:textId="77777777" w:rsidR="00637953" w:rsidRDefault="00637953" w:rsidP="009A6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581C" w14:textId="7C29BF0E" w:rsidR="009A61F3" w:rsidRDefault="009A61F3" w:rsidP="009A61F3">
    <w:pPr>
      <w:pStyle w:val="Header"/>
      <w:jc w:val="right"/>
    </w:pPr>
    <w:r>
      <w:rPr>
        <w:rFonts w:ascii="Times New Roman" w:hAnsi="Times New Roman" w:cs="Times New Roman"/>
        <w:noProof/>
      </w:rPr>
      <w:drawing>
        <wp:inline distT="0" distB="0" distL="0" distR="0" wp14:anchorId="6893819B" wp14:editId="02C0A4C0">
          <wp:extent cx="1209311" cy="911782"/>
          <wp:effectExtent l="0" t="0" r="0" b="3175"/>
          <wp:docPr id="1894522581" name="Picture 1" descr="A logo for a graduate center for transformation mentorshi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4522581" name="Picture 1" descr="A logo for a graduate center for transformation mentorship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494" cy="920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24C27"/>
    <w:multiLevelType w:val="hybridMultilevel"/>
    <w:tmpl w:val="67188D40"/>
    <w:lvl w:ilvl="0" w:tplc="51800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10EE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4B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70F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0AA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A1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52B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2C4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82F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64E2680"/>
    <w:multiLevelType w:val="hybridMultilevel"/>
    <w:tmpl w:val="8A685E54"/>
    <w:lvl w:ilvl="0" w:tplc="2C3C5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76BE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5CD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2E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0F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AD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B62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589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02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92F6492"/>
    <w:multiLevelType w:val="hybridMultilevel"/>
    <w:tmpl w:val="EE4C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788731">
    <w:abstractNumId w:val="2"/>
  </w:num>
  <w:num w:numId="2" w16cid:durableId="344750190">
    <w:abstractNumId w:val="0"/>
  </w:num>
  <w:num w:numId="3" w16cid:durableId="2107991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AA"/>
    <w:rsid w:val="000F4843"/>
    <w:rsid w:val="000F5B29"/>
    <w:rsid w:val="001134E7"/>
    <w:rsid w:val="00161940"/>
    <w:rsid w:val="00167941"/>
    <w:rsid w:val="001A427C"/>
    <w:rsid w:val="0021051C"/>
    <w:rsid w:val="00240271"/>
    <w:rsid w:val="002B6CCE"/>
    <w:rsid w:val="003635CF"/>
    <w:rsid w:val="0043799D"/>
    <w:rsid w:val="00484D60"/>
    <w:rsid w:val="005C605D"/>
    <w:rsid w:val="00637953"/>
    <w:rsid w:val="00650BDE"/>
    <w:rsid w:val="0096161F"/>
    <w:rsid w:val="00996D7D"/>
    <w:rsid w:val="009A61F3"/>
    <w:rsid w:val="009B4828"/>
    <w:rsid w:val="00B841AB"/>
    <w:rsid w:val="00BE2B87"/>
    <w:rsid w:val="00CC6792"/>
    <w:rsid w:val="00D44379"/>
    <w:rsid w:val="00E304EA"/>
    <w:rsid w:val="00EC73AA"/>
    <w:rsid w:val="00EF25EA"/>
    <w:rsid w:val="00F245EA"/>
    <w:rsid w:val="00F26920"/>
    <w:rsid w:val="00FE290F"/>
    <w:rsid w:val="00FE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D448D0"/>
  <w15:chartTrackingRefBased/>
  <w15:docId w15:val="{B14940FB-08A9-7F4F-A71A-E82C4BAF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05D"/>
  </w:style>
  <w:style w:type="paragraph" w:styleId="Heading1">
    <w:name w:val="heading 1"/>
    <w:basedOn w:val="Normal"/>
    <w:next w:val="Normal"/>
    <w:link w:val="Heading1Char"/>
    <w:uiPriority w:val="9"/>
    <w:qFormat/>
    <w:rsid w:val="00EC73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73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73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73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73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73A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73A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73A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73A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73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73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73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73A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73A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73A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73A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73A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73A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C73A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73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3A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73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C73A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C73A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C73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C73A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73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73A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C73A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841A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1A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A61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1F3"/>
  </w:style>
  <w:style w:type="paragraph" w:styleId="Footer">
    <w:name w:val="footer"/>
    <w:basedOn w:val="Normal"/>
    <w:link w:val="FooterChar"/>
    <w:uiPriority w:val="99"/>
    <w:unhideWhenUsed/>
    <w:rsid w:val="009A61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397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1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6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12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17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3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3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34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emson.edu/graduate/professional-development/graduate-center-for-transformational-mentorship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nsf.gov/policies/pappg/24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Van Puymbroeck Chancellor</dc:creator>
  <cp:keywords/>
  <dc:description/>
  <cp:lastModifiedBy>Marieke Van Puymbroeck Chancellor</cp:lastModifiedBy>
  <cp:revision>10</cp:revision>
  <dcterms:created xsi:type="dcterms:W3CDTF">2024-05-02T12:15:00Z</dcterms:created>
  <dcterms:modified xsi:type="dcterms:W3CDTF">2024-05-06T10:22:00Z</dcterms:modified>
</cp:coreProperties>
</file>